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b/>
          <w:color w:val="000000" w:themeColor="text1"/>
          <w:sz w:val="36"/>
          <w:szCs w:val="36"/>
        </w:rPr>
      </w:pPr>
    </w:p>
    <w:p>
      <w:pPr>
        <w:spacing w:line="620" w:lineRule="exact"/>
        <w:jc w:val="center"/>
        <w:rPr>
          <w:rFonts w:ascii="华文行楷" w:hAnsi="宋体" w:eastAsia="华文行楷"/>
          <w:color w:val="000000" w:themeColor="text1"/>
          <w:sz w:val="52"/>
          <w:szCs w:val="52"/>
        </w:rPr>
      </w:pPr>
      <w:r>
        <w:rPr>
          <w:rFonts w:hint="eastAsia" w:ascii="华文行楷" w:hAnsi="宋体" w:eastAsia="华文行楷"/>
          <w:color w:val="000000" w:themeColor="text1"/>
          <w:sz w:val="52"/>
          <w:szCs w:val="52"/>
        </w:rPr>
        <w:t>山西管理职业学院招收社会人员</w:t>
      </w:r>
    </w:p>
    <w:p>
      <w:pPr>
        <w:spacing w:line="620" w:lineRule="exact"/>
        <w:jc w:val="center"/>
        <w:rPr>
          <w:rFonts w:ascii="华文行楷" w:hAnsi="宋体" w:eastAsia="华文行楷"/>
          <w:color w:val="000000" w:themeColor="text1"/>
          <w:sz w:val="52"/>
          <w:szCs w:val="52"/>
        </w:rPr>
      </w:pPr>
    </w:p>
    <w:p>
      <w:pPr>
        <w:spacing w:line="360" w:lineRule="auto"/>
        <w:jc w:val="center"/>
        <w:rPr>
          <w:rFonts w:ascii="华文行楷" w:hAnsi="宋体" w:eastAsia="华文行楷"/>
          <w:color w:val="000000" w:themeColor="text1"/>
          <w:sz w:val="84"/>
          <w:szCs w:val="84"/>
        </w:rPr>
      </w:pPr>
      <w:r>
        <w:rPr>
          <w:rFonts w:hint="eastAsia" w:ascii="华文行楷" w:hAnsi="宋体" w:eastAsia="华文行楷"/>
          <w:color w:val="000000" w:themeColor="text1"/>
          <w:sz w:val="84"/>
          <w:szCs w:val="84"/>
        </w:rPr>
        <w:t>专业人才培养方案</w:t>
      </w:r>
    </w:p>
    <w:p>
      <w:pPr>
        <w:spacing w:line="360" w:lineRule="auto"/>
        <w:jc w:val="center"/>
        <w:rPr>
          <w:rFonts w:ascii="华文行楷" w:hAnsi="宋体" w:eastAsia="华文行楷"/>
          <w:color w:val="000000" w:themeColor="text1"/>
          <w:sz w:val="84"/>
          <w:szCs w:val="84"/>
        </w:rPr>
      </w:pPr>
    </w:p>
    <w:p>
      <w:pPr>
        <w:spacing w:line="360" w:lineRule="auto"/>
        <w:ind w:firstLine="5244" w:firstLineChars="1748"/>
        <w:jc w:val="left"/>
        <w:rPr>
          <w:rFonts w:ascii="宋体" w:hAnsi="宋体"/>
          <w:color w:val="000000" w:themeColor="text1"/>
          <w:sz w:val="30"/>
          <w:szCs w:val="30"/>
          <w:u w:val="single"/>
        </w:rPr>
      </w:pPr>
      <w:r>
        <w:rPr>
          <w:rFonts w:hint="eastAsia" w:ascii="宋体" w:hAnsi="宋体"/>
          <w:color w:val="000000" w:themeColor="text1"/>
          <w:sz w:val="30"/>
          <w:szCs w:val="30"/>
          <w:u w:val="single"/>
        </w:rPr>
        <w:t xml:space="preserve">专业名称：   金融管理     </w:t>
      </w:r>
    </w:p>
    <w:p>
      <w:pPr>
        <w:spacing w:line="360" w:lineRule="auto"/>
        <w:ind w:firstLine="5244" w:firstLineChars="1748"/>
        <w:jc w:val="left"/>
        <w:rPr>
          <w:rFonts w:ascii="宋体" w:hAnsi="宋体"/>
          <w:color w:val="000000" w:themeColor="text1"/>
          <w:sz w:val="30"/>
          <w:szCs w:val="30"/>
          <w:u w:val="single"/>
        </w:rPr>
      </w:pPr>
      <w:r>
        <w:rPr>
          <w:rFonts w:hint="eastAsia" w:ascii="宋体" w:hAnsi="宋体"/>
          <w:color w:val="000000" w:themeColor="text1"/>
          <w:sz w:val="30"/>
          <w:szCs w:val="30"/>
          <w:u w:val="single"/>
        </w:rPr>
        <w:t xml:space="preserve">专业代码：    630201      </w:t>
      </w:r>
    </w:p>
    <w:p>
      <w:pPr>
        <w:spacing w:line="360" w:lineRule="auto"/>
        <w:ind w:firstLine="5244" w:firstLineChars="1748"/>
        <w:jc w:val="left"/>
        <w:rPr>
          <w:rFonts w:ascii="宋体" w:hAnsi="宋体"/>
          <w:color w:val="000000" w:themeColor="text1"/>
          <w:sz w:val="30"/>
          <w:szCs w:val="30"/>
          <w:u w:val="single"/>
        </w:rPr>
      </w:pPr>
      <w:r>
        <w:rPr>
          <w:rFonts w:hint="eastAsia" w:ascii="宋体" w:hAnsi="宋体"/>
          <w:color w:val="000000" w:themeColor="text1"/>
          <w:sz w:val="30"/>
          <w:szCs w:val="30"/>
          <w:u w:val="single"/>
        </w:rPr>
        <w:t>适用专业:  2019级金融管理</w:t>
      </w:r>
    </w:p>
    <w:p>
      <w:pPr>
        <w:spacing w:line="360" w:lineRule="auto"/>
        <w:ind w:firstLine="5244" w:firstLineChars="1748"/>
        <w:jc w:val="left"/>
        <w:rPr>
          <w:rFonts w:ascii="宋体" w:hAnsi="宋体"/>
          <w:color w:val="000000" w:themeColor="text1"/>
          <w:sz w:val="30"/>
          <w:szCs w:val="30"/>
          <w:u w:val="single"/>
        </w:rPr>
      </w:pPr>
      <w:r>
        <w:rPr>
          <w:rFonts w:hint="eastAsia" w:ascii="宋体" w:hAnsi="宋体"/>
          <w:color w:val="000000" w:themeColor="text1"/>
          <w:sz w:val="30"/>
          <w:szCs w:val="30"/>
          <w:u w:val="single"/>
        </w:rPr>
        <w:t xml:space="preserve">专业负责人：   薛丽萍     </w:t>
      </w:r>
    </w:p>
    <w:p>
      <w:pPr>
        <w:spacing w:line="360" w:lineRule="auto"/>
        <w:ind w:right="600" w:firstLine="11850" w:firstLineChars="3950"/>
        <w:rPr>
          <w:rFonts w:ascii="宋体" w:hAnsi="宋体"/>
          <w:color w:val="000000" w:themeColor="text1"/>
          <w:sz w:val="30"/>
          <w:szCs w:val="30"/>
        </w:rPr>
      </w:pPr>
      <w:r>
        <w:rPr>
          <w:rFonts w:hint="eastAsia" w:ascii="宋体" w:hAnsi="宋体"/>
          <w:color w:val="000000" w:themeColor="text1"/>
          <w:sz w:val="30"/>
          <w:szCs w:val="30"/>
        </w:rPr>
        <w:t>财会系编制</w:t>
      </w:r>
    </w:p>
    <w:p>
      <w:pPr>
        <w:spacing w:line="360" w:lineRule="auto"/>
        <w:jc w:val="right"/>
        <w:rPr>
          <w:rFonts w:ascii="宋体" w:hAnsi="宋体"/>
          <w:color w:val="000000" w:themeColor="text1"/>
          <w:sz w:val="30"/>
          <w:szCs w:val="30"/>
        </w:rPr>
      </w:pPr>
      <w:r>
        <w:rPr>
          <w:rFonts w:hint="eastAsia" w:ascii="宋体" w:hAnsi="宋体"/>
          <w:color w:val="000000" w:themeColor="text1"/>
          <w:sz w:val="30"/>
          <w:szCs w:val="30"/>
        </w:rPr>
        <w:t>2019年</w:t>
      </w:r>
      <w:r>
        <w:rPr>
          <w:rFonts w:hint="eastAsia" w:ascii="宋体" w:hAnsi="宋体"/>
          <w:color w:val="000000" w:themeColor="text1"/>
          <w:sz w:val="30"/>
          <w:szCs w:val="30"/>
          <w:lang w:val="en-US" w:eastAsia="zh-CN"/>
        </w:rPr>
        <w:t>3</w:t>
      </w:r>
      <w:r>
        <w:rPr>
          <w:rFonts w:hint="eastAsia" w:ascii="宋体" w:hAnsi="宋体"/>
          <w:color w:val="000000" w:themeColor="text1"/>
          <w:sz w:val="30"/>
          <w:szCs w:val="30"/>
        </w:rPr>
        <w:t>月</w:t>
      </w:r>
      <w:r>
        <w:rPr>
          <w:rFonts w:hint="eastAsia" w:ascii="宋体" w:hAnsi="宋体"/>
          <w:color w:val="000000" w:themeColor="text1"/>
          <w:sz w:val="30"/>
          <w:szCs w:val="30"/>
          <w:lang w:val="en-US" w:eastAsia="zh-CN"/>
        </w:rPr>
        <w:t>3</w:t>
      </w:r>
      <w:r>
        <w:rPr>
          <w:rFonts w:hint="eastAsia" w:ascii="宋体" w:hAnsi="宋体"/>
          <w:color w:val="000000" w:themeColor="text1"/>
          <w:sz w:val="30"/>
          <w:szCs w:val="30"/>
        </w:rPr>
        <w:t>0日</w:t>
      </w:r>
    </w:p>
    <w:p>
      <w:pPr>
        <w:spacing w:line="360" w:lineRule="auto"/>
        <w:ind w:firstLine="413" w:firstLineChars="196"/>
        <w:rPr>
          <w:rFonts w:asciiTheme="minorEastAsia" w:hAnsiTheme="minorEastAsia" w:eastAsiaTheme="minorEastAsia"/>
          <w:color w:val="000000" w:themeColor="text1"/>
          <w:szCs w:val="21"/>
        </w:rPr>
      </w:pPr>
      <w:r>
        <w:rPr>
          <w:rFonts w:hint="eastAsia" w:asciiTheme="minorEastAsia" w:hAnsiTheme="minorEastAsia" w:eastAsiaTheme="minorEastAsia"/>
          <w:b/>
          <w:color w:val="000000" w:themeColor="text1"/>
          <w:szCs w:val="21"/>
        </w:rPr>
        <w:t>一、专业名称及专业代码</w:t>
      </w:r>
    </w:p>
    <w:p>
      <w:pPr>
        <w:spacing w:line="360" w:lineRule="auto"/>
        <w:ind w:firstLine="422" w:firstLineChars="200"/>
        <w:rPr>
          <w:rFonts w:asciiTheme="minorEastAsia" w:hAnsiTheme="minorEastAsia" w:eastAsiaTheme="minorEastAsia"/>
          <w:color w:val="000000" w:themeColor="text1"/>
          <w:szCs w:val="21"/>
        </w:rPr>
      </w:pPr>
      <w:r>
        <w:rPr>
          <w:rFonts w:hint="eastAsia" w:asciiTheme="minorEastAsia" w:hAnsiTheme="minorEastAsia" w:eastAsiaTheme="minorEastAsia"/>
          <w:b/>
          <w:color w:val="000000" w:themeColor="text1"/>
          <w:szCs w:val="21"/>
        </w:rPr>
        <w:t>专业名称：</w:t>
      </w:r>
      <w:r>
        <w:rPr>
          <w:rFonts w:hint="eastAsia" w:asciiTheme="minorEastAsia" w:hAnsiTheme="minorEastAsia" w:eastAsiaTheme="minorEastAsia"/>
          <w:color w:val="000000" w:themeColor="text1"/>
          <w:szCs w:val="21"/>
        </w:rPr>
        <w:t xml:space="preserve">金融管理   </w:t>
      </w:r>
      <w:r>
        <w:rPr>
          <w:rFonts w:hint="eastAsia" w:asciiTheme="minorEastAsia" w:hAnsiTheme="minorEastAsia" w:eastAsiaTheme="minorEastAsia"/>
          <w:b/>
          <w:color w:val="000000" w:themeColor="text1"/>
          <w:szCs w:val="21"/>
        </w:rPr>
        <w:t>专业代码</w:t>
      </w:r>
      <w:r>
        <w:rPr>
          <w:rFonts w:hint="eastAsia" w:asciiTheme="minorEastAsia" w:hAnsiTheme="minorEastAsia" w:eastAsiaTheme="minorEastAsia"/>
          <w:color w:val="000000" w:themeColor="text1"/>
          <w:szCs w:val="21"/>
        </w:rPr>
        <w:t>：630201</w:t>
      </w:r>
    </w:p>
    <w:p>
      <w:pPr>
        <w:spacing w:line="360" w:lineRule="auto"/>
        <w:ind w:firstLine="422" w:firstLineChars="200"/>
        <w:rPr>
          <w:rFonts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二、入学要求</w:t>
      </w:r>
    </w:p>
    <w:p>
      <w:pPr>
        <w:spacing w:line="360" w:lineRule="auto"/>
        <w:ind w:firstLine="420" w:firstLineChars="200"/>
        <w:jc w:val="left"/>
        <w:rPr>
          <w:rFonts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符合山西省普通高校招生报名条件的应、往届普通高中毕业生、中职（含中专、技工学校、 职业高中）毕业生，退役军人、下岗失业人员、农民工、新型职业农民和在岗职工等面向社会人员招收的在籍学生。</w:t>
      </w:r>
    </w:p>
    <w:p>
      <w:pPr>
        <w:spacing w:line="360" w:lineRule="auto"/>
        <w:ind w:firstLine="422" w:firstLineChars="200"/>
        <w:rPr>
          <w:rFonts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三、修业年限</w:t>
      </w:r>
    </w:p>
    <w:p>
      <w:pPr>
        <w:spacing w:line="360" w:lineRule="auto"/>
        <w:ind w:firstLine="420" w:firstLineChars="200"/>
        <w:rPr>
          <w:rFonts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基本学制3年（可实行弹性学制，最长不超过6年）</w:t>
      </w:r>
    </w:p>
    <w:p>
      <w:pPr>
        <w:spacing w:line="360" w:lineRule="auto"/>
        <w:ind w:firstLine="422" w:firstLineChars="200"/>
        <w:rPr>
          <w:rFonts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四、职业面向</w:t>
      </w:r>
    </w:p>
    <w:p>
      <w:pPr>
        <w:spacing w:line="360" w:lineRule="auto"/>
        <w:jc w:val="left"/>
        <w:rPr>
          <w:rFonts w:hint="eastAsia"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 xml:space="preserve">    金融管理专业毕业生主要面向保险、银行、证券、小额贷款公司、担保公司、投资管理公司、金融服务外包公司等金融行业管理部门财务会计、资金管理、投融资管理、理财规划、财务分析、税务筹划等工作岗位的保险代理人、银行客户经理、证券营销、信贷管理、风险控制、金融产品营销、网络营销、客户资源开发与管理等工作。</w:t>
      </w:r>
    </w:p>
    <w:p>
      <w:pPr>
        <w:adjustRightInd w:val="0"/>
        <w:spacing w:line="360" w:lineRule="auto"/>
        <w:contextualSpacing/>
        <w:jc w:val="center"/>
        <w:rPr>
          <w:rFonts w:cs="仿宋" w:asciiTheme="minorEastAsia" w:hAnsiTheme="minorEastAsia" w:eastAsiaTheme="minorEastAsia"/>
          <w:color w:val="000000" w:themeColor="text1"/>
          <w:szCs w:val="21"/>
        </w:rPr>
      </w:pPr>
    </w:p>
    <w:p>
      <w:pPr>
        <w:adjustRightInd w:val="0"/>
        <w:spacing w:line="360" w:lineRule="auto"/>
        <w:contextualSpacing/>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表1、本专业职业范围一览表</w:t>
      </w:r>
    </w:p>
    <w:tbl>
      <w:tblPr>
        <w:tblStyle w:val="18"/>
        <w:tblW w:w="1375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7"/>
        <w:gridCol w:w="1984"/>
        <w:gridCol w:w="1701"/>
        <w:gridCol w:w="2164"/>
        <w:gridCol w:w="2977"/>
        <w:gridCol w:w="27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jc w:val="center"/>
        </w:trPr>
        <w:tc>
          <w:tcPr>
            <w:tcW w:w="2127" w:type="dxa"/>
            <w:vAlign w:val="center"/>
          </w:tcPr>
          <w:p>
            <w:pPr>
              <w:spacing w:line="360" w:lineRule="auto"/>
              <w:jc w:val="center"/>
              <w:rPr>
                <w:rFonts w:asciiTheme="minorEastAsia" w:hAnsiTheme="minorEastAsia" w:eastAsiaTheme="minorEastAsia"/>
                <w:b/>
                <w:bCs/>
                <w:color w:val="000000" w:themeColor="text1"/>
                <w:szCs w:val="21"/>
              </w:rPr>
            </w:pPr>
            <w:r>
              <w:rPr>
                <w:rFonts w:hint="eastAsia" w:asciiTheme="minorEastAsia" w:hAnsiTheme="minorEastAsia" w:eastAsiaTheme="minorEastAsia"/>
                <w:b/>
                <w:bCs/>
                <w:color w:val="000000" w:themeColor="text1"/>
                <w:szCs w:val="21"/>
              </w:rPr>
              <w:t>所属专业大类（代码）</w:t>
            </w:r>
          </w:p>
        </w:tc>
        <w:tc>
          <w:tcPr>
            <w:tcW w:w="1984" w:type="dxa"/>
            <w:vAlign w:val="center"/>
          </w:tcPr>
          <w:p>
            <w:pPr>
              <w:spacing w:line="360" w:lineRule="auto"/>
              <w:jc w:val="center"/>
              <w:rPr>
                <w:rFonts w:asciiTheme="minorEastAsia" w:hAnsiTheme="minorEastAsia" w:eastAsiaTheme="minorEastAsia"/>
                <w:b/>
                <w:bCs/>
                <w:color w:val="000000" w:themeColor="text1"/>
                <w:szCs w:val="21"/>
              </w:rPr>
            </w:pPr>
            <w:r>
              <w:rPr>
                <w:rFonts w:hint="eastAsia" w:asciiTheme="minorEastAsia" w:hAnsiTheme="minorEastAsia" w:eastAsiaTheme="minorEastAsia"/>
                <w:b/>
                <w:bCs/>
                <w:color w:val="000000" w:themeColor="text1"/>
                <w:szCs w:val="21"/>
              </w:rPr>
              <w:t>所属专业类（代码）</w:t>
            </w:r>
          </w:p>
        </w:tc>
        <w:tc>
          <w:tcPr>
            <w:tcW w:w="1701" w:type="dxa"/>
            <w:vAlign w:val="center"/>
          </w:tcPr>
          <w:p>
            <w:pPr>
              <w:spacing w:line="360" w:lineRule="auto"/>
              <w:jc w:val="center"/>
              <w:rPr>
                <w:rFonts w:asciiTheme="minorEastAsia" w:hAnsiTheme="minorEastAsia" w:eastAsiaTheme="minorEastAsia"/>
                <w:b/>
                <w:bCs/>
                <w:color w:val="000000" w:themeColor="text1"/>
                <w:szCs w:val="21"/>
              </w:rPr>
            </w:pPr>
            <w:r>
              <w:rPr>
                <w:rFonts w:hint="eastAsia" w:asciiTheme="minorEastAsia" w:hAnsiTheme="minorEastAsia" w:eastAsiaTheme="minorEastAsia"/>
                <w:b/>
                <w:bCs/>
                <w:color w:val="000000" w:themeColor="text1"/>
                <w:szCs w:val="21"/>
              </w:rPr>
              <w:t>对应行业（代码）</w:t>
            </w:r>
          </w:p>
        </w:tc>
        <w:tc>
          <w:tcPr>
            <w:tcW w:w="2164" w:type="dxa"/>
            <w:vAlign w:val="center"/>
          </w:tcPr>
          <w:p>
            <w:pPr>
              <w:spacing w:line="360" w:lineRule="auto"/>
              <w:jc w:val="center"/>
              <w:rPr>
                <w:rFonts w:asciiTheme="minorEastAsia" w:hAnsiTheme="minorEastAsia" w:eastAsiaTheme="minorEastAsia"/>
                <w:b/>
                <w:bCs/>
                <w:color w:val="000000" w:themeColor="text1"/>
                <w:szCs w:val="21"/>
              </w:rPr>
            </w:pPr>
            <w:r>
              <w:rPr>
                <w:rFonts w:hint="eastAsia" w:asciiTheme="minorEastAsia" w:hAnsiTheme="minorEastAsia" w:eastAsiaTheme="minorEastAsia"/>
                <w:b/>
                <w:bCs/>
                <w:color w:val="000000" w:themeColor="text1"/>
                <w:szCs w:val="21"/>
              </w:rPr>
              <w:t>主要职业类别（代码）</w:t>
            </w:r>
          </w:p>
        </w:tc>
        <w:tc>
          <w:tcPr>
            <w:tcW w:w="2977" w:type="dxa"/>
            <w:vAlign w:val="center"/>
          </w:tcPr>
          <w:p>
            <w:pPr>
              <w:spacing w:line="360" w:lineRule="auto"/>
              <w:jc w:val="center"/>
              <w:rPr>
                <w:rFonts w:asciiTheme="minorEastAsia" w:hAnsiTheme="minorEastAsia" w:eastAsiaTheme="minorEastAsia"/>
                <w:b/>
                <w:bCs/>
                <w:color w:val="000000" w:themeColor="text1"/>
                <w:szCs w:val="21"/>
              </w:rPr>
            </w:pPr>
            <w:r>
              <w:rPr>
                <w:rFonts w:hint="eastAsia" w:asciiTheme="minorEastAsia" w:hAnsiTheme="minorEastAsia" w:eastAsiaTheme="minorEastAsia"/>
                <w:b/>
                <w:bCs/>
                <w:color w:val="000000" w:themeColor="text1"/>
                <w:szCs w:val="21"/>
              </w:rPr>
              <w:t>主要岗位类别</w:t>
            </w:r>
          </w:p>
          <w:p>
            <w:pPr>
              <w:spacing w:line="360" w:lineRule="auto"/>
              <w:jc w:val="center"/>
              <w:rPr>
                <w:rFonts w:asciiTheme="minorEastAsia" w:hAnsiTheme="minorEastAsia" w:eastAsiaTheme="minorEastAsia"/>
                <w:b/>
                <w:bCs/>
                <w:color w:val="000000" w:themeColor="text1"/>
                <w:szCs w:val="21"/>
              </w:rPr>
            </w:pPr>
            <w:r>
              <w:rPr>
                <w:rFonts w:hint="eastAsia" w:asciiTheme="minorEastAsia" w:hAnsiTheme="minorEastAsia" w:eastAsiaTheme="minorEastAsia"/>
                <w:b/>
                <w:bCs/>
                <w:color w:val="000000" w:themeColor="text1"/>
                <w:szCs w:val="21"/>
              </w:rPr>
              <w:t>（或技术领域）</w:t>
            </w:r>
          </w:p>
        </w:tc>
        <w:tc>
          <w:tcPr>
            <w:tcW w:w="2797" w:type="dxa"/>
            <w:vAlign w:val="center"/>
          </w:tcPr>
          <w:p>
            <w:pPr>
              <w:spacing w:line="360" w:lineRule="auto"/>
              <w:jc w:val="center"/>
              <w:rPr>
                <w:rFonts w:asciiTheme="minorEastAsia" w:hAnsiTheme="minorEastAsia" w:eastAsiaTheme="minorEastAsia"/>
                <w:b/>
                <w:bCs/>
                <w:color w:val="000000" w:themeColor="text1"/>
                <w:szCs w:val="21"/>
              </w:rPr>
            </w:pPr>
            <w:r>
              <w:rPr>
                <w:rFonts w:hint="eastAsia" w:asciiTheme="minorEastAsia" w:hAnsiTheme="minorEastAsia" w:eastAsiaTheme="minorEastAsia"/>
                <w:b/>
                <w:bCs/>
                <w:color w:val="000000" w:themeColor="text1"/>
                <w:szCs w:val="21"/>
              </w:rPr>
              <w:t>职业资格证书</w:t>
            </w:r>
          </w:p>
          <w:p>
            <w:pPr>
              <w:spacing w:line="360" w:lineRule="auto"/>
              <w:jc w:val="center"/>
              <w:rPr>
                <w:rFonts w:asciiTheme="minorEastAsia" w:hAnsiTheme="minorEastAsia" w:eastAsiaTheme="minorEastAsia"/>
                <w:b/>
                <w:bCs/>
                <w:color w:val="000000" w:themeColor="text1"/>
                <w:szCs w:val="21"/>
              </w:rPr>
            </w:pPr>
            <w:r>
              <w:rPr>
                <w:rFonts w:hint="eastAsia" w:asciiTheme="minorEastAsia" w:hAnsiTheme="minorEastAsia" w:eastAsiaTheme="minorEastAsia"/>
                <w:b/>
                <w:bCs/>
                <w:color w:val="000000" w:themeColor="text1"/>
                <w:szCs w:val="21"/>
              </w:rPr>
              <w:t>或技能等级证书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4" w:hRule="atLeast"/>
          <w:jc w:val="center"/>
        </w:trPr>
        <w:tc>
          <w:tcPr>
            <w:tcW w:w="2127" w:type="dxa"/>
            <w:vAlign w:val="center"/>
          </w:tcPr>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财经商贸大类</w:t>
            </w:r>
          </w:p>
          <w:p>
            <w:pPr>
              <w:spacing w:line="360" w:lineRule="auto"/>
              <w:jc w:val="center"/>
              <w:rPr>
                <w:rFonts w:asciiTheme="minorEastAsia" w:hAnsiTheme="minorEastAsia" w:eastAsiaTheme="minorEastAsia"/>
                <w:b/>
                <w:color w:val="000000" w:themeColor="text1"/>
                <w:szCs w:val="21"/>
              </w:rPr>
            </w:pPr>
            <w:r>
              <w:rPr>
                <w:rFonts w:hint="eastAsia" w:cs="宋体" w:asciiTheme="minorEastAsia" w:hAnsiTheme="minorEastAsia" w:eastAsiaTheme="minorEastAsia"/>
                <w:color w:val="000000" w:themeColor="text1"/>
                <w:szCs w:val="21"/>
              </w:rPr>
              <w:t>（63）</w:t>
            </w:r>
          </w:p>
        </w:tc>
        <w:tc>
          <w:tcPr>
            <w:tcW w:w="1984" w:type="dxa"/>
            <w:vAlign w:val="center"/>
          </w:tcPr>
          <w:p>
            <w:pPr>
              <w:spacing w:line="360" w:lineRule="auto"/>
              <w:jc w:val="center"/>
              <w:rPr>
                <w:rFonts w:asciiTheme="minorEastAsia" w:hAnsiTheme="minorEastAsia" w:eastAsiaTheme="minorEastAsia"/>
                <w:b/>
                <w:color w:val="000000" w:themeColor="text1"/>
                <w:szCs w:val="21"/>
              </w:rPr>
            </w:pPr>
            <w:r>
              <w:rPr>
                <w:rFonts w:hint="eastAsia" w:cs="宋体" w:asciiTheme="minorEastAsia" w:hAnsiTheme="minorEastAsia" w:eastAsiaTheme="minorEastAsia"/>
                <w:color w:val="000000" w:themeColor="text1"/>
                <w:szCs w:val="21"/>
              </w:rPr>
              <w:t>财务会计类（6302）</w:t>
            </w:r>
          </w:p>
        </w:tc>
        <w:tc>
          <w:tcPr>
            <w:tcW w:w="1701" w:type="dxa"/>
            <w:vAlign w:val="center"/>
          </w:tcPr>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金融、会计、审计及税务服务</w:t>
            </w:r>
          </w:p>
          <w:p>
            <w:pPr>
              <w:spacing w:line="360" w:lineRule="auto"/>
              <w:jc w:val="center"/>
              <w:rPr>
                <w:rFonts w:asciiTheme="minorEastAsia" w:hAnsiTheme="minorEastAsia" w:eastAsiaTheme="minorEastAsia"/>
                <w:b/>
                <w:color w:val="000000" w:themeColor="text1"/>
                <w:szCs w:val="21"/>
              </w:rPr>
            </w:pPr>
            <w:r>
              <w:rPr>
                <w:rFonts w:hint="eastAsia" w:cs="宋体" w:asciiTheme="minorEastAsia" w:hAnsiTheme="minorEastAsia" w:eastAsiaTheme="minorEastAsia"/>
                <w:color w:val="000000" w:themeColor="text1"/>
                <w:szCs w:val="21"/>
              </w:rPr>
              <w:t>（7241）</w:t>
            </w:r>
          </w:p>
        </w:tc>
        <w:tc>
          <w:tcPr>
            <w:tcW w:w="2164" w:type="dxa"/>
            <w:vAlign w:val="center"/>
          </w:tcPr>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会计专业人员（2-06-03）</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税务专业人员（2-06-05）</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银行专业人员（2-06-09）</w:t>
            </w:r>
          </w:p>
          <w:p>
            <w:pPr>
              <w:spacing w:line="360" w:lineRule="auto"/>
              <w:jc w:val="center"/>
              <w:rPr>
                <w:rFonts w:asciiTheme="minorEastAsia" w:hAnsiTheme="minorEastAsia" w:eastAsiaTheme="minorEastAsia"/>
                <w:b/>
                <w:color w:val="000000" w:themeColor="text1"/>
                <w:szCs w:val="21"/>
              </w:rPr>
            </w:pPr>
            <w:r>
              <w:rPr>
                <w:rFonts w:hint="eastAsia" w:cs="宋体" w:asciiTheme="minorEastAsia" w:hAnsiTheme="minorEastAsia" w:eastAsiaTheme="minorEastAsia"/>
                <w:color w:val="000000" w:themeColor="text1"/>
                <w:szCs w:val="21"/>
              </w:rPr>
              <w:t>证券专业人员（2-06-11）</w:t>
            </w:r>
          </w:p>
        </w:tc>
        <w:tc>
          <w:tcPr>
            <w:tcW w:w="2977" w:type="dxa"/>
            <w:vAlign w:val="center"/>
          </w:tcPr>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财务会计岗位</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资金管理岗位</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投融资管理岗位</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理财规划岗位</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财务分析岗位</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税务筹划岗位</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金融服务外包运营岗位</w:t>
            </w:r>
          </w:p>
          <w:p>
            <w:pPr>
              <w:spacing w:line="360" w:lineRule="auto"/>
              <w:jc w:val="center"/>
              <w:rPr>
                <w:rFonts w:cs="宋体" w:asciiTheme="minorEastAsia" w:hAnsiTheme="minorEastAsia" w:eastAsiaTheme="minorEastAsia"/>
                <w:color w:val="000000" w:themeColor="text1"/>
                <w:szCs w:val="21"/>
              </w:rPr>
            </w:pPr>
            <w:r>
              <w:rPr>
                <w:rFonts w:hint="eastAsia" w:asciiTheme="minorEastAsia" w:hAnsiTheme="minorEastAsia" w:eastAsiaTheme="minorEastAsia"/>
                <w:color w:val="333333"/>
                <w:szCs w:val="21"/>
                <w:shd w:val="clear" w:color="auto" w:fill="FFFFFF"/>
              </w:rPr>
              <w:t>商业银行、担保公司客户经理</w:t>
            </w:r>
          </w:p>
        </w:tc>
        <w:tc>
          <w:tcPr>
            <w:tcW w:w="2797" w:type="dxa"/>
            <w:vAlign w:val="center"/>
          </w:tcPr>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初级会计职业证书</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银行从业资格证书</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证券从业资格证书</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理财规划师</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信息化工程师</w:t>
            </w:r>
          </w:p>
          <w:p>
            <w:pPr>
              <w:spacing w:line="360" w:lineRule="auto"/>
              <w:jc w:val="center"/>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-ERP应用资格证书</w:t>
            </w:r>
          </w:p>
          <w:p>
            <w:pPr>
              <w:spacing w:line="360" w:lineRule="auto"/>
              <w:jc w:val="center"/>
              <w:rPr>
                <w:rFonts w:asciiTheme="minorEastAsia" w:hAnsiTheme="minorEastAsia" w:eastAsiaTheme="minorEastAsia"/>
                <w:color w:val="000000" w:themeColor="text1"/>
                <w:szCs w:val="21"/>
              </w:rPr>
            </w:pPr>
          </w:p>
        </w:tc>
      </w:tr>
    </w:tbl>
    <w:p>
      <w:pPr>
        <w:spacing w:line="360" w:lineRule="auto"/>
        <w:ind w:firstLine="422" w:firstLineChars="200"/>
        <w:rPr>
          <w:rFonts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五、培养目标与培养规格</w:t>
      </w:r>
    </w:p>
    <w:p>
      <w:pPr>
        <w:spacing w:line="360" w:lineRule="auto"/>
        <w:ind w:firstLine="422" w:firstLineChars="200"/>
        <w:rPr>
          <w:rFonts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（一）培养目标</w:t>
      </w:r>
    </w:p>
    <w:p>
      <w:pPr>
        <w:spacing w:line="580" w:lineRule="exact"/>
        <w:ind w:firstLine="420" w:firstLineChars="200"/>
        <w:rPr>
          <w:rFonts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金融管理专业培养思想政治坚定、德技并修、全面发展，</w:t>
      </w:r>
      <w:r>
        <w:rPr>
          <w:rFonts w:asciiTheme="minorEastAsia" w:hAnsiTheme="minorEastAsia" w:eastAsiaTheme="minorEastAsia"/>
          <w:color w:val="000000" w:themeColor="text1"/>
          <w:szCs w:val="21"/>
        </w:rPr>
        <w:t>适应金融服务</w:t>
      </w:r>
      <w:r>
        <w:rPr>
          <w:rFonts w:hint="eastAsia" w:asciiTheme="minorEastAsia" w:hAnsiTheme="minorEastAsia" w:eastAsiaTheme="minorEastAsia"/>
          <w:color w:val="000000" w:themeColor="text1"/>
          <w:szCs w:val="21"/>
        </w:rPr>
        <w:t>产业领域的财务会计、资金管理、投融资管理、理财规划、财务分析、税务筹划、</w:t>
      </w:r>
      <w:r>
        <w:rPr>
          <w:rFonts w:asciiTheme="minorEastAsia" w:hAnsiTheme="minorEastAsia" w:eastAsiaTheme="minorEastAsia"/>
          <w:color w:val="000000" w:themeColor="text1"/>
          <w:szCs w:val="21"/>
        </w:rPr>
        <w:t>金融服务</w:t>
      </w:r>
      <w:r>
        <w:rPr>
          <w:rFonts w:hint="eastAsia" w:asciiTheme="minorEastAsia" w:hAnsiTheme="minorEastAsia" w:eastAsiaTheme="minorEastAsia"/>
          <w:color w:val="000000" w:themeColor="text1"/>
          <w:szCs w:val="21"/>
        </w:rPr>
        <w:t>运营等工作岗位需要，培养具有熟悉国情，熟悉我国有关财务、金融管理的方针、政策和法规、具有不断接受新事物的进取精神和终身学习的态度</w:t>
      </w:r>
      <w:r>
        <w:rPr>
          <w:rFonts w:asciiTheme="minorEastAsia" w:hAnsiTheme="minorEastAsia" w:eastAsiaTheme="minorEastAsia"/>
          <w:color w:val="000000" w:themeColor="text1"/>
          <w:szCs w:val="21"/>
        </w:rPr>
        <w:t>的</w:t>
      </w:r>
      <w:r>
        <w:rPr>
          <w:rFonts w:hint="eastAsia" w:asciiTheme="minorEastAsia" w:hAnsiTheme="minorEastAsia" w:eastAsiaTheme="minorEastAsia"/>
          <w:color w:val="000000" w:themeColor="text1"/>
          <w:szCs w:val="21"/>
        </w:rPr>
        <w:t>职业道德、能</w:t>
      </w:r>
      <w:r>
        <w:rPr>
          <w:rFonts w:asciiTheme="minorEastAsia" w:hAnsiTheme="minorEastAsia" w:eastAsiaTheme="minorEastAsia"/>
          <w:color w:val="000000" w:themeColor="text1"/>
          <w:szCs w:val="21"/>
        </w:rPr>
        <w:t>从事保险代理人、银行客户经理、证券营销、信贷管理、风险控制、金融产品营销、网络营销、客户资源开发与管理</w:t>
      </w:r>
      <w:r>
        <w:rPr>
          <w:rFonts w:hint="eastAsia" w:asciiTheme="minorEastAsia" w:hAnsiTheme="minorEastAsia" w:eastAsiaTheme="minorEastAsia"/>
          <w:color w:val="000000" w:themeColor="text1"/>
          <w:szCs w:val="21"/>
        </w:rPr>
        <w:t xml:space="preserve">等工作的专业知识和健康的心理素质，掌握一定的金融理论基础理论，以及金融产品营销、网络营销、客户资源开发与管理等核心技能，具备独立分析问题、解决问题以及金融实务操作的能力，有较高的创新能力和沟通能力，面向保险、银行、证券、小额贷款公司、担保公司、投资管理公司、金融服务外包公司等金融行业，从事保险代理人、银行客户经理、证券营销、信贷管理、风险控制、金融产品营销、网络营销、客户资源开发与管理等核心技能的全面发展的社会主义劳动者和技术技能人才。 </w:t>
      </w:r>
    </w:p>
    <w:p>
      <w:pPr>
        <w:spacing w:line="360" w:lineRule="auto"/>
        <w:ind w:firstLine="405"/>
        <w:jc w:val="left"/>
        <w:rPr>
          <w:rFonts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（二）培养规格</w:t>
      </w:r>
    </w:p>
    <w:p>
      <w:pPr>
        <w:spacing w:line="360" w:lineRule="auto"/>
        <w:ind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1.</w:t>
      </w:r>
      <w:r>
        <w:rPr>
          <w:rFonts w:hint="eastAsia" w:asciiTheme="minorEastAsia" w:hAnsiTheme="minorEastAsia" w:eastAsiaTheme="minorEastAsia"/>
          <w:color w:val="000000" w:themeColor="text1"/>
          <w:szCs w:val="21"/>
        </w:rPr>
        <w:t>素质目标</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具有正确的世界观、人生观、价值观。</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具有良好的身心素质和人文素养。</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热爱专业，具有认真履行岗位职责的意识。</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 xml:space="preserve">具有热爱社会主义祖国，热爱集体的思想和良好品德。 </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 xml:space="preserve">具有艰苦奋斗、团结协作的品质。 </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 xml:space="preserve">具有严谨治学、求真务实、具有创新精神和良好的职业道德和职业素养。 </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具有一定具有不断接受新事物的进取精神和终身学习的态度。</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具有热情、主动的工作热情与服务意识。</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具有健全的人格、强壮的体魄、良好的道德修养、心理素质和行为习惯。</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具有自律谦让、团结协作的品质。</w:t>
      </w:r>
    </w:p>
    <w:p>
      <w:pPr>
        <w:spacing w:line="360" w:lineRule="auto"/>
        <w:ind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2.</w:t>
      </w:r>
      <w:r>
        <w:rPr>
          <w:rFonts w:hint="eastAsia" w:asciiTheme="minorEastAsia" w:hAnsiTheme="minorEastAsia" w:eastAsiaTheme="minorEastAsia"/>
          <w:color w:val="000000" w:themeColor="text1"/>
          <w:szCs w:val="21"/>
        </w:rPr>
        <w:t>知识目标</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cs="Arial" w:asciiTheme="minorEastAsia" w:hAnsiTheme="minorEastAsia" w:eastAsiaTheme="minorEastAsia"/>
          <w:color w:val="000000" w:themeColor="text1"/>
          <w:sz w:val="21"/>
          <w:szCs w:val="21"/>
        </w:rPr>
        <w:t>●</w:t>
      </w:r>
      <w:r>
        <w:rPr>
          <w:rFonts w:asciiTheme="minorEastAsia" w:hAnsiTheme="minorEastAsia" w:eastAsiaTheme="minorEastAsia" w:cstheme="majorEastAsia"/>
          <w:color w:val="000000" w:themeColor="text1"/>
          <w:kern w:val="2"/>
          <w:sz w:val="21"/>
          <w:szCs w:val="21"/>
        </w:rPr>
        <w:t>掌握面向经济金融一线人才应必备的文化基础知识</w:t>
      </w:r>
      <w:r>
        <w:rPr>
          <w:rFonts w:asciiTheme="minorEastAsia" w:hAnsiTheme="minorEastAsia" w:eastAsiaTheme="minorEastAsia"/>
          <w:color w:val="000000" w:themeColor="text1"/>
          <w:sz w:val="21"/>
          <w:szCs w:val="21"/>
        </w:rPr>
        <w:t>。</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cs="Arial" w:asciiTheme="minorEastAsia" w:hAnsiTheme="minorEastAsia" w:eastAsiaTheme="minorEastAsia"/>
          <w:color w:val="000000" w:themeColor="text1"/>
          <w:sz w:val="21"/>
          <w:szCs w:val="21"/>
        </w:rPr>
        <w:t>●</w:t>
      </w:r>
      <w:r>
        <w:rPr>
          <w:rFonts w:asciiTheme="minorEastAsia" w:hAnsiTheme="minorEastAsia" w:eastAsiaTheme="minorEastAsia" w:cstheme="majorEastAsia"/>
          <w:color w:val="000000" w:themeColor="text1"/>
          <w:kern w:val="2"/>
          <w:sz w:val="21"/>
          <w:szCs w:val="21"/>
        </w:rPr>
        <w:t>掌握管理、经济和财务与金融的基本理论和基本知识</w:t>
      </w:r>
      <w:r>
        <w:rPr>
          <w:rFonts w:asciiTheme="minorEastAsia" w:hAnsiTheme="minorEastAsia" w:eastAsiaTheme="minorEastAsia"/>
          <w:color w:val="000000" w:themeColor="text1"/>
          <w:sz w:val="21"/>
          <w:szCs w:val="21"/>
        </w:rPr>
        <w:t>。</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cs="Arial" w:asciiTheme="minorEastAsia" w:hAnsiTheme="minorEastAsia" w:eastAsiaTheme="minorEastAsia"/>
          <w:color w:val="000000" w:themeColor="text1"/>
          <w:sz w:val="21"/>
          <w:szCs w:val="21"/>
        </w:rPr>
        <w:t>●</w:t>
      </w:r>
      <w:r>
        <w:rPr>
          <w:rFonts w:asciiTheme="minorEastAsia" w:hAnsiTheme="minorEastAsia" w:eastAsiaTheme="minorEastAsia" w:cstheme="majorEastAsia"/>
          <w:color w:val="000000" w:themeColor="text1"/>
          <w:kern w:val="2"/>
          <w:sz w:val="21"/>
          <w:szCs w:val="21"/>
        </w:rPr>
        <w:t>掌握金融业务的基本概念、基础理论和相关的业务要求、操作流程</w:t>
      </w:r>
      <w:r>
        <w:rPr>
          <w:rFonts w:asciiTheme="minorEastAsia" w:hAnsiTheme="minorEastAsia" w:eastAsiaTheme="minorEastAsia"/>
          <w:color w:val="000000" w:themeColor="text1"/>
          <w:sz w:val="21"/>
          <w:szCs w:val="21"/>
        </w:rPr>
        <w:t>。</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asciiTheme="minorEastAsia" w:hAnsiTheme="minorEastAsia" w:eastAsiaTheme="minorEastAsia" w:cstheme="majorEastAsia"/>
          <w:color w:val="000000" w:themeColor="text1"/>
          <w:szCs w:val="21"/>
        </w:rPr>
        <w:t>了解国内外金融发展的新理论、新动向、新成就</w:t>
      </w:r>
      <w:r>
        <w:rPr>
          <w:rFonts w:asciiTheme="minorEastAsia" w:hAnsiTheme="minorEastAsia" w:eastAsiaTheme="minorEastAsia"/>
          <w:color w:val="000000" w:themeColor="text1"/>
          <w:szCs w:val="21"/>
        </w:rPr>
        <w:t>。</w:t>
      </w:r>
    </w:p>
    <w:p>
      <w:pPr>
        <w:spacing w:line="360" w:lineRule="auto"/>
        <w:ind w:firstLine="420" w:firstLineChars="200"/>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熟悉国情，熟悉我国有关财务、金融管理的方针、政策和法规。</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cs="Arial" w:asciiTheme="minorEastAsia" w:hAnsiTheme="minorEastAsia" w:eastAsiaTheme="minorEastAsia"/>
          <w:color w:val="000000" w:themeColor="text1"/>
          <w:sz w:val="21"/>
          <w:szCs w:val="21"/>
        </w:rPr>
        <w:t>●</w:t>
      </w:r>
      <w:r>
        <w:rPr>
          <w:rFonts w:asciiTheme="minorEastAsia" w:hAnsiTheme="minorEastAsia" w:eastAsiaTheme="minorEastAsia" w:cstheme="majorEastAsia"/>
          <w:color w:val="000000" w:themeColor="text1"/>
          <w:kern w:val="2"/>
          <w:sz w:val="21"/>
          <w:szCs w:val="21"/>
        </w:rPr>
        <w:t>熟悉并掌握与金融经济相关的法律知识、行业法规、监管规章及金融机构内部规章</w:t>
      </w:r>
      <w:r>
        <w:rPr>
          <w:rFonts w:asciiTheme="minorEastAsia" w:hAnsiTheme="minorEastAsia" w:eastAsiaTheme="minorEastAsia"/>
          <w:color w:val="000000" w:themeColor="text1"/>
          <w:sz w:val="21"/>
          <w:szCs w:val="21"/>
        </w:rPr>
        <w:t>。</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cs="Arial" w:asciiTheme="minorEastAsia" w:hAnsiTheme="minorEastAsia" w:eastAsiaTheme="minorEastAsia"/>
          <w:color w:val="000000" w:themeColor="text1"/>
          <w:sz w:val="21"/>
          <w:szCs w:val="21"/>
        </w:rPr>
        <w:t>●</w:t>
      </w:r>
      <w:r>
        <w:rPr>
          <w:rFonts w:asciiTheme="minorEastAsia" w:hAnsiTheme="minorEastAsia" w:eastAsiaTheme="minorEastAsia" w:cstheme="majorEastAsia"/>
          <w:color w:val="000000" w:themeColor="text1"/>
          <w:kern w:val="2"/>
          <w:sz w:val="21"/>
          <w:szCs w:val="21"/>
        </w:rPr>
        <w:t>掌握财务、金融管理的定性和定量的分析方法，能够对现实经济问题进行分析研究</w:t>
      </w:r>
      <w:r>
        <w:rPr>
          <w:rFonts w:asciiTheme="minorEastAsia" w:hAnsiTheme="minorEastAsia" w:eastAsiaTheme="minorEastAsia"/>
          <w:color w:val="000000" w:themeColor="text1"/>
          <w:sz w:val="21"/>
          <w:szCs w:val="21"/>
        </w:rPr>
        <w:t>。</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cs="Arial" w:asciiTheme="minorEastAsia" w:hAnsiTheme="minorEastAsia" w:eastAsiaTheme="minorEastAsia"/>
          <w:color w:val="000000" w:themeColor="text1"/>
          <w:sz w:val="21"/>
          <w:szCs w:val="21"/>
        </w:rPr>
        <w:t>●</w:t>
      </w:r>
      <w:r>
        <w:rPr>
          <w:rFonts w:asciiTheme="minorEastAsia" w:hAnsiTheme="minorEastAsia" w:eastAsiaTheme="minorEastAsia" w:cstheme="majorEastAsia"/>
          <w:color w:val="000000" w:themeColor="text1"/>
          <w:kern w:val="2"/>
          <w:sz w:val="21"/>
          <w:szCs w:val="21"/>
        </w:rPr>
        <w:t>能准确快速进行手工点钞；能准确鉴别假币及现金挑残；能熟练使用防伪点钞设备、自动存取款设备和工作现场的办公设备；能熟练进行数字键盘的传票录入</w:t>
      </w:r>
      <w:r>
        <w:rPr>
          <w:rFonts w:asciiTheme="minorEastAsia" w:hAnsiTheme="minorEastAsia" w:eastAsiaTheme="minorEastAsia"/>
          <w:color w:val="000000" w:themeColor="text1"/>
          <w:sz w:val="21"/>
          <w:szCs w:val="21"/>
        </w:rPr>
        <w:t>。</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cs="Arial" w:asciiTheme="minorEastAsia" w:hAnsiTheme="minorEastAsia" w:eastAsiaTheme="minorEastAsia"/>
          <w:color w:val="000000" w:themeColor="text1"/>
          <w:sz w:val="21"/>
          <w:szCs w:val="21"/>
        </w:rPr>
        <w:t>●</w:t>
      </w:r>
      <w:r>
        <w:rPr>
          <w:rFonts w:asciiTheme="minorEastAsia" w:hAnsiTheme="minorEastAsia" w:eastAsiaTheme="minorEastAsia" w:cstheme="majorEastAsia"/>
          <w:color w:val="000000" w:themeColor="text1"/>
          <w:kern w:val="2"/>
          <w:sz w:val="21"/>
          <w:szCs w:val="21"/>
        </w:rPr>
        <w:t>掌握会计核算和财务管理的基础知识、业务要求与操作流程；能准确分析和解读会计信息；能够根据会计信息分析企业财务状况和盈利能力；能够评估项目风险</w:t>
      </w:r>
      <w:r>
        <w:rPr>
          <w:rFonts w:asciiTheme="minorEastAsia" w:hAnsiTheme="minorEastAsia" w:eastAsiaTheme="minorEastAsia"/>
          <w:color w:val="000000" w:themeColor="text1"/>
          <w:sz w:val="21"/>
          <w:szCs w:val="21"/>
        </w:rPr>
        <w:t>。</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cs="Arial" w:asciiTheme="minorEastAsia" w:hAnsiTheme="minorEastAsia" w:eastAsiaTheme="minorEastAsia"/>
          <w:color w:val="000000" w:themeColor="text1"/>
          <w:sz w:val="21"/>
          <w:szCs w:val="21"/>
        </w:rPr>
        <w:t>●</w:t>
      </w:r>
      <w:r>
        <w:rPr>
          <w:rFonts w:asciiTheme="minorEastAsia" w:hAnsiTheme="minorEastAsia" w:eastAsiaTheme="minorEastAsia" w:cstheme="majorEastAsia"/>
          <w:color w:val="000000" w:themeColor="text1"/>
          <w:kern w:val="2"/>
          <w:sz w:val="21"/>
          <w:szCs w:val="21"/>
        </w:rPr>
        <w:t>掌握金融服务营销的基本知识和操作流程；能快速识别客户，有效地与客户沟通，独立开拓与维护客户；能独立进行金融产品营销，独立进行理财规划</w:t>
      </w:r>
      <w:r>
        <w:rPr>
          <w:rFonts w:asciiTheme="minorEastAsia" w:hAnsiTheme="minorEastAsia" w:eastAsiaTheme="minorEastAsia"/>
          <w:color w:val="000000" w:themeColor="text1"/>
          <w:sz w:val="21"/>
          <w:szCs w:val="21"/>
        </w:rPr>
        <w:t>。</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cs="Arial" w:asciiTheme="minorEastAsia" w:hAnsiTheme="minorEastAsia" w:eastAsiaTheme="minorEastAsia"/>
          <w:color w:val="000000" w:themeColor="text1"/>
          <w:sz w:val="21"/>
          <w:szCs w:val="21"/>
        </w:rPr>
        <w:t>●</w:t>
      </w:r>
      <w:r>
        <w:rPr>
          <w:rFonts w:asciiTheme="minorEastAsia" w:hAnsiTheme="minorEastAsia" w:eastAsiaTheme="minorEastAsia" w:cstheme="majorEastAsia"/>
          <w:color w:val="000000" w:themeColor="text1"/>
          <w:kern w:val="2"/>
          <w:sz w:val="21"/>
          <w:szCs w:val="21"/>
        </w:rPr>
        <w:t>掌握保险类产品和银保类产品的营销技巧；能对发生事故责任进行基本认定的判断。 </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cs="Arial" w:asciiTheme="minorEastAsia" w:hAnsiTheme="minorEastAsia" w:eastAsiaTheme="minorEastAsia"/>
          <w:color w:val="000000" w:themeColor="text1"/>
          <w:sz w:val="21"/>
          <w:szCs w:val="21"/>
        </w:rPr>
        <w:t>●</w:t>
      </w:r>
      <w:r>
        <w:rPr>
          <w:rFonts w:asciiTheme="minorEastAsia" w:hAnsiTheme="minorEastAsia" w:eastAsiaTheme="minorEastAsia" w:cstheme="majorEastAsia"/>
          <w:color w:val="000000" w:themeColor="text1"/>
          <w:kern w:val="2"/>
          <w:sz w:val="21"/>
          <w:szCs w:val="21"/>
        </w:rPr>
        <w:t>掌握计算机应用基础知识，熟练掌握证券交易操作软件，并懂得简单的维护常识。</w:t>
      </w:r>
    </w:p>
    <w:p>
      <w:pPr>
        <w:pStyle w:val="30"/>
        <w:spacing w:line="360" w:lineRule="auto"/>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熟悉金融相关法律法规和合规政策，了解银行的相关业务。</w:t>
      </w:r>
    </w:p>
    <w:p>
      <w:pPr>
        <w:pStyle w:val="30"/>
        <w:spacing w:line="360" w:lineRule="auto"/>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了解国家产业政策、法律法规制度等，能分析宏观经济背景、行业发展趋势、企业发展潜力、判断企业投资价值。</w:t>
      </w:r>
    </w:p>
    <w:p>
      <w:pPr>
        <w:pStyle w:val="30"/>
        <w:spacing w:line="360" w:lineRule="auto"/>
        <w:rPr>
          <w:rFonts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asciiTheme="minorEastAsia" w:hAnsiTheme="minorEastAsia" w:eastAsiaTheme="minorEastAsia"/>
          <w:color w:val="000000" w:themeColor="text1"/>
          <w:szCs w:val="21"/>
        </w:rPr>
        <w:t>掌握银行、证券、保险以及其他新型金融机构的相关业务和操作流程。</w:t>
      </w:r>
    </w:p>
    <w:p>
      <w:pPr>
        <w:spacing w:line="360" w:lineRule="auto"/>
        <w:ind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3.</w:t>
      </w:r>
      <w:r>
        <w:rPr>
          <w:rFonts w:hint="eastAsia" w:asciiTheme="minorEastAsia" w:hAnsiTheme="minorEastAsia" w:eastAsiaTheme="minorEastAsia"/>
          <w:color w:val="000000" w:themeColor="text1"/>
          <w:szCs w:val="21"/>
        </w:rPr>
        <w:t>能力目标</w:t>
      </w:r>
    </w:p>
    <w:p>
      <w:pPr>
        <w:spacing w:line="360" w:lineRule="auto"/>
        <w:ind w:firstLine="420" w:firstLineChars="200"/>
        <w:jc w:val="left"/>
        <w:rPr>
          <w:rFonts w:cs="宋体"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cs="宋体" w:asciiTheme="minorEastAsia" w:hAnsiTheme="minorEastAsia" w:eastAsiaTheme="minorEastAsia"/>
          <w:color w:val="000000" w:themeColor="text1"/>
          <w:szCs w:val="21"/>
        </w:rPr>
        <w:t>具有金融服务软件外包领域的客户服务、数据处理、业务拓展能力</w:t>
      </w:r>
      <w:r>
        <w:rPr>
          <w:rFonts w:hint="eastAsia" w:asciiTheme="minorEastAsia" w:hAnsiTheme="minorEastAsia" w:eastAsiaTheme="minorEastAsia"/>
          <w:color w:val="000000" w:themeColor="text1"/>
          <w:szCs w:val="21"/>
        </w:rPr>
        <w:t>。</w:t>
      </w:r>
    </w:p>
    <w:p>
      <w:pPr>
        <w:spacing w:line="360" w:lineRule="auto"/>
        <w:ind w:firstLine="420" w:firstLineChars="200"/>
        <w:jc w:val="left"/>
        <w:rPr>
          <w:rFonts w:cs="宋体"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cs="宋体" w:asciiTheme="minorEastAsia" w:hAnsiTheme="minorEastAsia" w:eastAsiaTheme="minorEastAsia"/>
          <w:color w:val="000000" w:themeColor="text1"/>
          <w:szCs w:val="21"/>
        </w:rPr>
        <w:t>具有一定的协调工作能力、合作沟通能力</w:t>
      </w:r>
      <w:r>
        <w:rPr>
          <w:rFonts w:hint="eastAsia" w:asciiTheme="minorEastAsia" w:hAnsiTheme="minorEastAsia" w:eastAsiaTheme="minorEastAsia"/>
          <w:color w:val="000000" w:themeColor="text1"/>
          <w:szCs w:val="21"/>
        </w:rPr>
        <w:t>。</w:t>
      </w:r>
    </w:p>
    <w:p>
      <w:pPr>
        <w:spacing w:line="360" w:lineRule="auto"/>
        <w:ind w:firstLine="420" w:firstLineChars="200"/>
        <w:jc w:val="left"/>
        <w:rPr>
          <w:rFonts w:cs="宋体"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cs="宋体" w:asciiTheme="minorEastAsia" w:hAnsiTheme="minorEastAsia" w:eastAsiaTheme="minorEastAsia"/>
          <w:color w:val="000000" w:themeColor="text1"/>
          <w:szCs w:val="21"/>
        </w:rPr>
        <w:t>具有独立搜集、处理信息的能力</w:t>
      </w:r>
      <w:r>
        <w:rPr>
          <w:rFonts w:hint="eastAsia" w:asciiTheme="minorEastAsia" w:hAnsiTheme="minorEastAsia" w:eastAsiaTheme="minorEastAsia"/>
          <w:color w:val="000000" w:themeColor="text1"/>
          <w:szCs w:val="21"/>
        </w:rPr>
        <w:t>。</w:t>
      </w:r>
    </w:p>
    <w:p>
      <w:pPr>
        <w:spacing w:line="360" w:lineRule="auto"/>
        <w:ind w:firstLine="420" w:firstLineChars="200"/>
        <w:jc w:val="left"/>
        <w:rPr>
          <w:rFonts w:cs="宋体"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cs="宋体" w:asciiTheme="minorEastAsia" w:hAnsiTheme="minorEastAsia" w:eastAsiaTheme="minorEastAsia"/>
          <w:color w:val="000000" w:themeColor="text1"/>
          <w:szCs w:val="21"/>
        </w:rPr>
        <w:t>具有独立获取新知识的能力；具备提出问题、分析问题和解决问题的能力和较强的创造能力</w:t>
      </w:r>
      <w:r>
        <w:rPr>
          <w:rFonts w:hint="eastAsia" w:asciiTheme="minorEastAsia" w:hAnsiTheme="minorEastAsia" w:eastAsiaTheme="minorEastAsia"/>
          <w:color w:val="000000" w:themeColor="text1"/>
          <w:szCs w:val="21"/>
        </w:rPr>
        <w:t>。</w:t>
      </w:r>
    </w:p>
    <w:p>
      <w:pPr>
        <w:spacing w:line="360" w:lineRule="auto"/>
        <w:ind w:firstLine="420" w:firstLineChars="200"/>
        <w:jc w:val="left"/>
        <w:rPr>
          <w:rFonts w:cs="宋体"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cs="宋体" w:asciiTheme="minorEastAsia" w:hAnsiTheme="minorEastAsia" w:eastAsiaTheme="minorEastAsia"/>
          <w:color w:val="000000" w:themeColor="text1"/>
          <w:szCs w:val="21"/>
        </w:rPr>
        <w:t>具备办公自动化应用能力。熟练应用办公自动化相关软件；熟练应用网络功能进行文献检索和信息搜集。</w:t>
      </w:r>
    </w:p>
    <w:p>
      <w:pPr>
        <w:spacing w:line="360" w:lineRule="auto"/>
        <w:ind w:firstLine="420" w:firstLineChars="200"/>
        <w:jc w:val="left"/>
        <w:rPr>
          <w:rFonts w:cs="宋体"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cs="宋体" w:asciiTheme="minorEastAsia" w:hAnsiTheme="minorEastAsia" w:eastAsiaTheme="minorEastAsia"/>
          <w:color w:val="000000" w:themeColor="text1"/>
          <w:szCs w:val="21"/>
        </w:rPr>
        <w:t>具有较强的社会活动能力、协调组织能力和社会交往能力。</w:t>
      </w:r>
    </w:p>
    <w:p>
      <w:pPr>
        <w:spacing w:line="360" w:lineRule="auto"/>
        <w:ind w:firstLine="420" w:firstLineChars="200"/>
        <w:jc w:val="left"/>
        <w:rPr>
          <w:rFonts w:cs="宋体"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cs="宋体" w:asciiTheme="minorEastAsia" w:hAnsiTheme="minorEastAsia" w:eastAsiaTheme="minorEastAsia"/>
          <w:color w:val="000000" w:themeColor="text1"/>
          <w:szCs w:val="21"/>
        </w:rPr>
        <w:t>具有较强的学习能力、写作能力、语言表达能力、人际沟通和跨文化交流能力以及计算机及信息技术应用等方面的基本能力。</w:t>
      </w:r>
    </w:p>
    <w:p>
      <w:pPr>
        <w:spacing w:line="360" w:lineRule="auto"/>
        <w:ind w:firstLine="420" w:firstLineChars="200"/>
        <w:jc w:val="left"/>
        <w:rPr>
          <w:rFonts w:cs="宋体"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cs="宋体" w:asciiTheme="minorEastAsia" w:hAnsiTheme="minorEastAsia" w:eastAsiaTheme="minorEastAsia"/>
          <w:color w:val="000000" w:themeColor="text1"/>
          <w:szCs w:val="21"/>
        </w:rPr>
        <w:t>能够运用计算机工具进行信息处理。</w:t>
      </w:r>
    </w:p>
    <w:p>
      <w:pPr>
        <w:spacing w:line="360" w:lineRule="auto"/>
        <w:ind w:firstLine="420" w:firstLineChars="200"/>
        <w:jc w:val="left"/>
        <w:rPr>
          <w:rFonts w:cs="宋体" w:asciiTheme="minorEastAsia" w:hAnsiTheme="minorEastAsia" w:eastAsiaTheme="minorEastAsia"/>
          <w:color w:val="000000" w:themeColor="text1"/>
          <w:szCs w:val="21"/>
        </w:rPr>
      </w:pPr>
      <w:r>
        <w:rPr>
          <w:rFonts w:cs="Arial" w:asciiTheme="minorEastAsia" w:hAnsiTheme="minorEastAsia" w:eastAsiaTheme="minorEastAsia"/>
          <w:color w:val="000000" w:themeColor="text1"/>
          <w:szCs w:val="21"/>
        </w:rPr>
        <w:t>●</w:t>
      </w:r>
      <w:r>
        <w:rPr>
          <w:rFonts w:hint="eastAsia" w:cs="宋体" w:asciiTheme="minorEastAsia" w:hAnsiTheme="minorEastAsia" w:eastAsiaTheme="minorEastAsia"/>
          <w:color w:val="000000" w:themeColor="text1"/>
          <w:szCs w:val="21"/>
        </w:rPr>
        <w:t>能够运用财务管理的基本方法进行投资、筹资、分配决策以及编制财务预算与实施财务控制。</w:t>
      </w:r>
    </w:p>
    <w:p>
      <w:pPr>
        <w:pStyle w:val="30"/>
        <w:spacing w:line="360" w:lineRule="auto"/>
        <w:ind w:firstLine="422"/>
        <w:rPr>
          <w:rFonts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 xml:space="preserve"> 六、课程设置</w:t>
      </w:r>
    </w:p>
    <w:p>
      <w:pPr>
        <w:spacing w:line="360" w:lineRule="auto"/>
        <w:ind w:firstLine="422" w:firstLineChars="200"/>
        <w:rPr>
          <w:rFonts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（一）课程思政要求</w:t>
      </w:r>
    </w:p>
    <w:p>
      <w:pPr>
        <w:spacing w:line="360" w:lineRule="auto"/>
        <w:ind w:firstLine="420" w:firstLineChars="200"/>
        <w:jc w:val="left"/>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1.高职思政课要求</w:t>
      </w:r>
    </w:p>
    <w:p>
      <w:pPr>
        <w:spacing w:line="360" w:lineRule="auto"/>
        <w:ind w:firstLine="420" w:firstLineChars="200"/>
        <w:jc w:val="left"/>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引导学生立德成人、立志成才，树立正确的世界观、人生观、价值观。坚持用习近平新时代中国特色社会主义思想铸魂育人，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法治教育、劳动教育、心理健康教育、中华优秀传统文化教育。</w:t>
      </w:r>
    </w:p>
    <w:p>
      <w:pPr>
        <w:spacing w:line="360" w:lineRule="auto"/>
        <w:ind w:firstLine="420" w:firstLineChars="200"/>
        <w:jc w:val="left"/>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2.高职文化课程思政要求</w:t>
      </w:r>
    </w:p>
    <w:p>
      <w:pPr>
        <w:spacing w:line="360" w:lineRule="auto"/>
        <w:ind w:firstLine="420" w:firstLineChars="200"/>
        <w:jc w:val="left"/>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深度挖掘学校本专业体育课、军事课、心理健康教育、党史国史、中华优秀传统文化、职业发展与就业指导、语文、数学、外语、健康教育、美育、职业素养等所有文化基础课程蕴含的思想政治教育资源，解决好文化基础课程与思政课相互配合的问题，推动文化类课程与思政课建设形成协同效应。</w:t>
      </w:r>
    </w:p>
    <w:p>
      <w:pPr>
        <w:spacing w:line="360" w:lineRule="auto"/>
        <w:ind w:firstLine="420" w:firstLineChars="200"/>
        <w:jc w:val="left"/>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3.高职专业课思政要求</w:t>
      </w:r>
    </w:p>
    <w:p>
      <w:pPr>
        <w:spacing w:line="360" w:lineRule="auto"/>
        <w:ind w:firstLine="420" w:firstLineChars="200"/>
        <w:jc w:val="left"/>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每门专业课程蕴含着丰富的思想政治教育内容，深度挖掘本专业课程中蕴含的思想政治教育资源，要梳理每一门专业课程蕴含的思想政治教育元素，发挥专业课程承载的思想政治教育功能，结合本专业人才培养特点和专业素质、知识和能力要求，善于挖掘专业课程中生成的人文背景与社会价值，将思想政治教育“润物细无声”地融入专业课程教学，把对真、善、美的追求贯穿于学生专业学习的全过程，增强学生对“技术与社会”“技术与人”关系的进一步认识。推动专业课程教学与思想政治理论课教学紧密结合，相互配合的问题，推动专业类课程与思政课建设形成协同效应。</w:t>
      </w:r>
    </w:p>
    <w:p>
      <w:pPr>
        <w:spacing w:line="360" w:lineRule="auto"/>
        <w:ind w:firstLine="422" w:firstLineChars="200"/>
        <w:rPr>
          <w:rFonts w:asciiTheme="minorEastAsia" w:hAnsiTheme="minorEastAsia" w:eastAsiaTheme="minorEastAsia"/>
          <w:b/>
          <w:color w:val="000000" w:themeColor="text1"/>
          <w:szCs w:val="21"/>
        </w:rPr>
      </w:pPr>
      <w:r>
        <w:rPr>
          <w:rFonts w:hint="eastAsia" w:asciiTheme="minorEastAsia" w:hAnsiTheme="minorEastAsia" w:eastAsiaTheme="minorEastAsia"/>
          <w:b/>
          <w:color w:val="000000" w:themeColor="text1"/>
          <w:szCs w:val="21"/>
        </w:rPr>
        <w:t>（二）课程设置</w:t>
      </w:r>
    </w:p>
    <w:p>
      <w:pPr>
        <w:spacing w:line="360" w:lineRule="auto"/>
        <w:ind w:firstLine="420" w:firstLineChars="200"/>
        <w:jc w:val="left"/>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1.公共基础课程设置</w:t>
      </w:r>
    </w:p>
    <w:p>
      <w:pPr>
        <w:spacing w:line="360" w:lineRule="auto"/>
        <w:ind w:firstLine="420" w:firstLineChars="200"/>
        <w:jc w:val="left"/>
        <w:rPr>
          <w:rFonts w:cs="宋体" w:asciiTheme="minorEastAsia" w:hAnsiTheme="minorEastAsia" w:eastAsiaTheme="minorEastAsia"/>
          <w:color w:val="000000" w:themeColor="text1"/>
          <w:szCs w:val="21"/>
        </w:rPr>
      </w:pPr>
      <w:r>
        <w:rPr>
          <w:rFonts w:hint="eastAsia" w:cs="宋体" w:asciiTheme="minorEastAsia" w:hAnsiTheme="minorEastAsia" w:eastAsiaTheme="minorEastAsia"/>
          <w:color w:val="000000" w:themeColor="text1"/>
          <w:szCs w:val="21"/>
        </w:rPr>
        <w:t>公共基础课是本专业学生均需学习的有关基础理论、基本知识和基本素养的课程，通过学习掌握基础的文化知识，一方面为学生继续学习创造条件；另一方面通过学习培养良好的职业道德素养、身体素质、心理素质、礼仪修养素质等，为培养公民基本素养打好基础。</w:t>
      </w:r>
    </w:p>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表2、公共基础课一览表</w:t>
      </w:r>
    </w:p>
    <w:tbl>
      <w:tblPr>
        <w:tblStyle w:val="1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8222"/>
        <w:gridCol w:w="1134"/>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序号</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课程名称</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主要教学内容及要求</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学分</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大学语文</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依据《高等职业学校语文教学大纲》开设并与专业实际和行业发展密切结合</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经济数学</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依据《高等职业学校数学教学大纲》开设并注重在职业模块的教学內容中体现专业特色</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大学英语</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依据《高等职业学校英语教学大纲》开设并注重在职业模块的教学內容中体现专业特色</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计算机应用基础</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依据《高等职业学校计算机应用基础教学大纲》开设并注重在职业模块的教学內容中体现专业特色</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体育与健康</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依据《高等职业学校体育与健康教学指导纲要》开设并与专业实际和行业发展密切结合</w:t>
            </w:r>
          </w:p>
        </w:tc>
        <w:tc>
          <w:tcPr>
            <w:tcW w:w="113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道德素养</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毛中、思修、形势与政策；马克思主义理论类、党史国史</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身心素养</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心理健康教育、军事理论和军事技能；美育、中华优秀传统文化</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843"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职业素养</w:t>
            </w:r>
          </w:p>
        </w:tc>
        <w:tc>
          <w:tcPr>
            <w:tcW w:w="8222"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职业发展与就业教育、创新创业教育</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984"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w:t>
            </w:r>
          </w:p>
        </w:tc>
        <w:tc>
          <w:tcPr>
            <w:tcW w:w="1843"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科学素养</w:t>
            </w:r>
          </w:p>
        </w:tc>
        <w:tc>
          <w:tcPr>
            <w:tcW w:w="8222"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安全教育、节能减排、绿色环保、海洋科学</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9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16（每讲4课时）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w:t>
            </w:r>
          </w:p>
        </w:tc>
        <w:tc>
          <w:tcPr>
            <w:tcW w:w="1843"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人文素养</w:t>
            </w:r>
          </w:p>
        </w:tc>
        <w:tc>
          <w:tcPr>
            <w:tcW w:w="8222"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金融知识、社会责任、人口资源、管理知识等</w:t>
            </w:r>
          </w:p>
        </w:tc>
        <w:tc>
          <w:tcPr>
            <w:tcW w:w="113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9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16（每讲4课时）</w:t>
            </w:r>
          </w:p>
        </w:tc>
      </w:tr>
    </w:tbl>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asciiTheme="minorEastAsia" w:hAnsiTheme="minorEastAsia" w:eastAsiaTheme="minorEastAsia" w:cstheme="majorEastAsia"/>
          <w:color w:val="000000" w:themeColor="text1"/>
          <w:kern w:val="2"/>
          <w:sz w:val="21"/>
          <w:szCs w:val="21"/>
        </w:rPr>
        <w:t>2.公共选修课程的设置</w:t>
      </w:r>
    </w:p>
    <w:p>
      <w:pPr>
        <w:spacing w:line="360" w:lineRule="auto"/>
        <w:ind w:right="-82" w:rightChars="-39"/>
        <w:jc w:val="center"/>
        <w:rPr>
          <w:rFonts w:asciiTheme="minorEastAsia" w:hAnsiTheme="minorEastAsia" w:eastAsiaTheme="minorEastAsia" w:cstheme="minorEastAsia"/>
          <w:color w:val="000000" w:themeColor="text1"/>
          <w:szCs w:val="21"/>
        </w:rPr>
      </w:pPr>
      <w:r>
        <w:rPr>
          <w:rFonts w:asciiTheme="minorEastAsia" w:hAnsiTheme="minorEastAsia" w:eastAsiaTheme="minorEastAsia" w:cstheme="minorEastAsia"/>
          <w:color w:val="000000" w:themeColor="text1"/>
          <w:szCs w:val="21"/>
        </w:rPr>
        <w:t>表</w:t>
      </w:r>
      <w:r>
        <w:rPr>
          <w:rFonts w:hint="eastAsia" w:asciiTheme="minorEastAsia" w:hAnsiTheme="minorEastAsia" w:eastAsiaTheme="minorEastAsia" w:cstheme="minorEastAsia"/>
          <w:color w:val="000000" w:themeColor="text1"/>
          <w:szCs w:val="21"/>
        </w:rPr>
        <w:t>3公共选修课（含网络课程）一览表</w:t>
      </w:r>
    </w:p>
    <w:tbl>
      <w:tblPr>
        <w:tblStyle w:val="18"/>
        <w:tblW w:w="13669" w:type="dxa"/>
        <w:tblInd w:w="93" w:type="dxa"/>
        <w:tblLayout w:type="fixed"/>
        <w:tblCellMar>
          <w:top w:w="0" w:type="dxa"/>
          <w:left w:w="108" w:type="dxa"/>
          <w:bottom w:w="0" w:type="dxa"/>
          <w:right w:w="108" w:type="dxa"/>
        </w:tblCellMar>
      </w:tblPr>
      <w:tblGrid>
        <w:gridCol w:w="742"/>
        <w:gridCol w:w="2959"/>
        <w:gridCol w:w="1751"/>
        <w:gridCol w:w="2304"/>
        <w:gridCol w:w="947"/>
        <w:gridCol w:w="973"/>
        <w:gridCol w:w="1254"/>
        <w:gridCol w:w="998"/>
        <w:gridCol w:w="896"/>
        <w:gridCol w:w="845"/>
      </w:tblGrid>
      <w:tr>
        <w:tblPrEx>
          <w:tblLayout w:type="fixed"/>
          <w:tblCellMar>
            <w:top w:w="0" w:type="dxa"/>
            <w:left w:w="108" w:type="dxa"/>
            <w:bottom w:w="0" w:type="dxa"/>
            <w:right w:w="108" w:type="dxa"/>
          </w:tblCellMar>
        </w:tblPrEx>
        <w:trPr>
          <w:trHeight w:val="1147"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序号</w:t>
            </w:r>
          </w:p>
        </w:tc>
        <w:tc>
          <w:tcPr>
            <w:tcW w:w="29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课程名称</w:t>
            </w:r>
          </w:p>
        </w:tc>
        <w:tc>
          <w:tcPr>
            <w:tcW w:w="17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课程性质    (公选课、专选课、网络课）</w:t>
            </w:r>
          </w:p>
        </w:tc>
        <w:tc>
          <w:tcPr>
            <w:tcW w:w="23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课程类型           （人文社科类、自然科学类、活动类、综合类）</w:t>
            </w:r>
          </w:p>
        </w:tc>
        <w:tc>
          <w:tcPr>
            <w:tcW w:w="9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学分</w:t>
            </w:r>
          </w:p>
        </w:tc>
        <w:tc>
          <w:tcPr>
            <w:tcW w:w="9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学时</w:t>
            </w:r>
          </w:p>
        </w:tc>
        <w:tc>
          <w:tcPr>
            <w:tcW w:w="125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学期(2、3、4)</w:t>
            </w:r>
          </w:p>
        </w:tc>
        <w:tc>
          <w:tcPr>
            <w:tcW w:w="99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周学时</w:t>
            </w:r>
          </w:p>
        </w:tc>
        <w:tc>
          <w:tcPr>
            <w:tcW w:w="89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周数</w:t>
            </w:r>
          </w:p>
        </w:tc>
        <w:tc>
          <w:tcPr>
            <w:tcW w:w="8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备注</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国学精粹</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明清小说鉴赏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英语交际口语</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中西方文化比较阅读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动漫英语欣赏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英语影视赏析</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英美影视之美剧赏析</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职场英语</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人文社科学</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英文时事报刊选读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影视英语视听说</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英语实用文写作</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跳绳</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足球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羽毛球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排球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棋牌</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书法</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摄影</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篆刻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毽球</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应用文写作</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公选课(50人)</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w:t>
            </w:r>
          </w:p>
        </w:tc>
        <w:tc>
          <w:tcPr>
            <w:tcW w:w="2959" w:type="dxa"/>
            <w:tcBorders>
              <w:top w:val="nil"/>
              <w:left w:val="nil"/>
              <w:bottom w:val="nil"/>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英语语法精讲与强化</w:t>
            </w:r>
          </w:p>
        </w:tc>
        <w:tc>
          <w:tcPr>
            <w:tcW w:w="17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29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现代诗鉴赏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唐宋词鉴赏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趣味数学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数学史话</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解析几何</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中国古典文学作品中的意境美赏析</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数学思维与技巧</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线性代数</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影视欣赏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外国文学作品欣赏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普通话</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社交礼仪</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消费心理学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现代智慧物流</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中国旅游</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中国传统文化</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中国政治地理</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哲学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英语词源探秘</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食全食美</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服装色彩搭配</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诗经爱情诗十二讲</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葡萄酒的那些事儿</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时尚流行文化解读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茶语春秋-中国茶文化</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妙语人生</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文史哲与艺术中的数学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女性形体礼仪与形象塑造</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餐桌上的奇妙世界</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英文电影鉴赏</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推拿保健与养生</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电影作品解读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33</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艺术与审美</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混合式</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企业文化-职业新人升级攻略</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人文社科学类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创新工程实践</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网络课 </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58</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图说人际关系心理</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59</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生活中的市场营销</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60</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跨文化沟通心理学</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61</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孙子兵法中的思维智慧</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36</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62</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茶语春秋—中国茶文化</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29</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63</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创业营销——创业新手营销实战指南</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30</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64</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Know Bfore You Go:趣谈“一带一路”国家</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65</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中国历史地理</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30</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66</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公共关系与人际交往能力</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72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653" w:hRule="atLeast"/>
        </w:trPr>
        <w:tc>
          <w:tcPr>
            <w:tcW w:w="7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67</w:t>
            </w:r>
          </w:p>
        </w:tc>
        <w:tc>
          <w:tcPr>
            <w:tcW w:w="2959"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中国古典诗词中的品格与修养</w:t>
            </w:r>
          </w:p>
        </w:tc>
        <w:tc>
          <w:tcPr>
            <w:tcW w:w="17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9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72</w:t>
            </w:r>
          </w:p>
        </w:tc>
        <w:tc>
          <w:tcPr>
            <w:tcW w:w="12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w:t>
            </w:r>
          </w:p>
        </w:tc>
        <w:tc>
          <w:tcPr>
            <w:tcW w:w="9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bl>
    <w:p>
      <w:pPr>
        <w:spacing w:line="360" w:lineRule="auto"/>
        <w:rPr>
          <w:rFonts w:asciiTheme="minorEastAsia" w:hAnsiTheme="minorEastAsia" w:eastAsiaTheme="minorEastAsia"/>
          <w:color w:val="000000" w:themeColor="text1"/>
          <w:szCs w:val="21"/>
        </w:rPr>
      </w:pPr>
      <w:r>
        <w:rPr>
          <w:rFonts w:hint="eastAsia" w:asciiTheme="minorEastAsia" w:hAnsiTheme="minorEastAsia" w:eastAsiaTheme="minorEastAsia" w:cstheme="minorEastAsia"/>
          <w:b/>
          <w:color w:val="000000" w:themeColor="text1"/>
          <w:szCs w:val="21"/>
        </w:rPr>
        <w:t>说明：</w:t>
      </w:r>
      <w:r>
        <w:rPr>
          <w:rFonts w:hint="eastAsia" w:asciiTheme="minorEastAsia" w:hAnsiTheme="minorEastAsia" w:eastAsiaTheme="minorEastAsia" w:cstheme="minorEastAsia"/>
          <w:color w:val="000000" w:themeColor="text1"/>
          <w:szCs w:val="21"/>
        </w:rPr>
        <w:t>四类公选课的序号不作为课程数量的限制。</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asciiTheme="minorEastAsia" w:hAnsiTheme="minorEastAsia" w:eastAsiaTheme="minorEastAsia" w:cstheme="majorEastAsia"/>
          <w:color w:val="000000" w:themeColor="text1"/>
          <w:kern w:val="2"/>
          <w:sz w:val="21"/>
          <w:szCs w:val="21"/>
        </w:rPr>
        <w:t>3.专业（技能）课程设置</w:t>
      </w:r>
    </w:p>
    <w:p>
      <w:pPr>
        <w:pStyle w:val="14"/>
        <w:spacing w:before="0" w:beforeAutospacing="0" w:after="0" w:afterAutospacing="0" w:line="360" w:lineRule="auto"/>
        <w:ind w:firstLine="420" w:firstLineChars="200"/>
        <w:rPr>
          <w:rFonts w:hint="default" w:asciiTheme="minorEastAsia" w:hAnsiTheme="minorEastAsia" w:eastAsiaTheme="minorEastAsia" w:cstheme="majorEastAsia"/>
          <w:color w:val="000000" w:themeColor="text1"/>
          <w:kern w:val="2"/>
          <w:sz w:val="21"/>
          <w:szCs w:val="21"/>
        </w:rPr>
      </w:pPr>
      <w:r>
        <w:rPr>
          <w:rFonts w:asciiTheme="minorEastAsia" w:hAnsiTheme="minorEastAsia" w:eastAsiaTheme="minorEastAsia" w:cstheme="majorEastAsia"/>
          <w:color w:val="000000" w:themeColor="text1"/>
          <w:kern w:val="2"/>
          <w:sz w:val="21"/>
          <w:szCs w:val="21"/>
        </w:rPr>
        <w:t>专业课程是支撑学生达到本专业培养目标，掌握相应专业领域素质、知识和能力的课程。通过学习要求学生掌握金融知识和专业能力之外，还创造条件提高学生的人际交流和公众交流能力；培养学生的自我发展能力，适应金融环境变化的能力;使学生具备识别分析问题的能力，能够收集有关材料用于计划、决策、监督和控制;帮助学生开发自我管理能力，包括时间管理、工作安排、决策、有主见、应付压力、独立工作等方面;培养学生的自信心、独立自主的判断力以及自我激励的素质和能力。</w:t>
      </w:r>
    </w:p>
    <w:p>
      <w:pPr>
        <w:pStyle w:val="14"/>
        <w:spacing w:before="0" w:beforeAutospacing="0" w:after="0" w:afterAutospacing="0" w:line="360" w:lineRule="auto"/>
        <w:ind w:firstLine="420" w:firstLineChars="200"/>
        <w:jc w:val="center"/>
        <w:rPr>
          <w:rFonts w:hint="default" w:asciiTheme="minorEastAsia" w:hAnsiTheme="minorEastAsia" w:eastAsiaTheme="minorEastAsia" w:cstheme="majorEastAsia"/>
          <w:color w:val="000000" w:themeColor="text1"/>
          <w:kern w:val="2"/>
          <w:sz w:val="21"/>
          <w:szCs w:val="21"/>
        </w:rPr>
      </w:pPr>
      <w:r>
        <w:rPr>
          <w:rFonts w:asciiTheme="minorEastAsia" w:hAnsiTheme="minorEastAsia" w:eastAsiaTheme="minorEastAsia" w:cstheme="majorEastAsia"/>
          <w:color w:val="000000" w:themeColor="text1"/>
          <w:kern w:val="2"/>
          <w:sz w:val="21"/>
          <w:szCs w:val="21"/>
        </w:rPr>
        <w:t>表4、专业课程一览表（专业基础课、专业核心课）</w:t>
      </w:r>
    </w:p>
    <w:tbl>
      <w:tblPr>
        <w:tblStyle w:val="18"/>
        <w:tblW w:w="137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3021"/>
        <w:gridCol w:w="8567"/>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blHeader/>
        </w:trPr>
        <w:tc>
          <w:tcPr>
            <w:tcW w:w="915" w:type="dxa"/>
            <w:shd w:val="clear" w:color="auto" w:fill="auto"/>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序号</w:t>
            </w:r>
          </w:p>
        </w:tc>
        <w:tc>
          <w:tcPr>
            <w:tcW w:w="3021" w:type="dxa"/>
            <w:shd w:val="clear" w:color="auto" w:fill="auto"/>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课程名称</w:t>
            </w:r>
          </w:p>
        </w:tc>
        <w:tc>
          <w:tcPr>
            <w:tcW w:w="8567" w:type="dxa"/>
            <w:shd w:val="clear" w:color="auto" w:fill="auto"/>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主要教学内容和要求</w:t>
            </w:r>
          </w:p>
        </w:tc>
        <w:tc>
          <w:tcPr>
            <w:tcW w:w="1279" w:type="dxa"/>
            <w:shd w:val="clear" w:color="auto" w:fill="auto"/>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1</w:t>
            </w:r>
          </w:p>
        </w:tc>
        <w:tc>
          <w:tcPr>
            <w:tcW w:w="3021"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金融基础</w:t>
            </w:r>
          </w:p>
        </w:tc>
        <w:tc>
          <w:tcPr>
            <w:tcW w:w="8567" w:type="dxa"/>
            <w:vAlign w:val="center"/>
          </w:tcPr>
          <w:p>
            <w:pPr>
              <w:tabs>
                <w:tab w:val="left" w:pos="3240"/>
              </w:tabs>
              <w:spacing w:line="360" w:lineRule="auto"/>
              <w:ind w:right="-105" w:rightChars="-50" w:firstLine="420" w:firstLineChars="200"/>
              <w:jc w:val="left"/>
              <w:rPr>
                <w:rFonts w:asciiTheme="minorEastAsia" w:hAnsiTheme="minorEastAsia" w:eastAsiaTheme="minorEastAsia" w:cstheme="majorEastAsia"/>
                <w:szCs w:val="21"/>
              </w:rPr>
            </w:pPr>
            <w:r>
              <w:rPr>
                <w:rFonts w:hint="eastAsia" w:cs="宋体" w:asciiTheme="minorEastAsia" w:hAnsiTheme="minorEastAsia" w:eastAsiaTheme="minorEastAsia"/>
                <w:kern w:val="0"/>
                <w:szCs w:val="21"/>
              </w:rPr>
              <w:t>本课程的教学内容主要涵盖货币、信用、金融机构、金融市场与金融工具、货币供求均衡、货币政策等方面。通过本课程的教学，要求学生比较全面地掌握金融学的基本理论、基本知识和基本方法，系统的掌握货币、信用、金融机构、金融市场、金融宏观调控等基本范畴、内在关系及其运动规律，并能用相关的理论解读现实的经济现象和金融现象，能够运用所学到的理论知识分析简单的经济金融问题，进而站在高度分析宏观经济金融形势和微观金融活动。</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c>
          <w:tcPr>
            <w:tcW w:w="3021" w:type="dxa"/>
            <w:vAlign w:val="center"/>
          </w:tcPr>
          <w:p>
            <w:pPr>
              <w:pStyle w:val="14"/>
              <w:spacing w:before="0" w:beforeAutospacing="0" w:after="0" w:afterAutospacing="0" w:line="360" w:lineRule="auto"/>
              <w:ind w:firstLine="210" w:firstLineChars="1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 xml:space="preserve">  证券投资</w:t>
            </w:r>
          </w:p>
        </w:tc>
        <w:tc>
          <w:tcPr>
            <w:tcW w:w="8567"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教学内容包括</w:t>
            </w:r>
            <w:r>
              <w:rPr>
                <w:rFonts w:asciiTheme="minorEastAsia" w:hAnsiTheme="minorEastAsia" w:eastAsiaTheme="minorEastAsia"/>
                <w:color w:val="000000"/>
                <w:sz w:val="21"/>
                <w:szCs w:val="21"/>
              </w:rPr>
              <w:t>有价证券的含义，股份有限公司的概念及其特点；股票的概念、特点及分类，公司的种类，股价指数的概念；系统风险和非系统风险的定义，股票公开发行的条件， 发行股票的主要方式，证券交易的原则；经纪关系的建立；证券交易的过程；证券的竞价方式；指定交易与转托管；证券交易的费用。证券市场与宏观经济运行之间的关系行业形势对行业内证券价格的影响，公司财务分析的比率分析法。</w:t>
            </w:r>
            <w:r>
              <w:rPr>
                <w:rFonts w:asciiTheme="minorEastAsia" w:hAnsiTheme="minorEastAsia" w:eastAsiaTheme="minorEastAsia"/>
                <w:sz w:val="21"/>
                <w:szCs w:val="21"/>
              </w:rPr>
              <w:t>通过学习使学生增加证券投资方面的知识，拓广了知识面，让学生基本掌握证券投资的基础原理，了解证券市场的运行规律，掌握证券投资的分析方法，为其他的学习和今后走的工作打好基础。</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3</w:t>
            </w:r>
          </w:p>
        </w:tc>
        <w:tc>
          <w:tcPr>
            <w:tcW w:w="3021" w:type="dxa"/>
            <w:vAlign w:val="center"/>
          </w:tcPr>
          <w:p>
            <w:pPr>
              <w:pStyle w:val="14"/>
              <w:spacing w:before="0" w:beforeAutospacing="0" w:after="0" w:afterAutospacing="0" w:line="360" w:lineRule="auto"/>
              <w:ind w:firstLine="420" w:firstLineChars="200"/>
              <w:jc w:val="both"/>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 xml:space="preserve"> 会计职业基础</w:t>
            </w:r>
          </w:p>
        </w:tc>
        <w:tc>
          <w:tcPr>
            <w:tcW w:w="8567"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cs="Verdana" w:asciiTheme="minorEastAsia" w:hAnsiTheme="minorEastAsia" w:eastAsiaTheme="minorEastAsia"/>
                <w:sz w:val="21"/>
                <w:szCs w:val="21"/>
                <w:shd w:val="clear" w:color="auto" w:fill="FFFFFF"/>
              </w:rPr>
              <w:t>内容</w:t>
            </w:r>
            <w:r>
              <w:rPr>
                <w:rFonts w:cs="宋体" w:asciiTheme="minorEastAsia" w:hAnsiTheme="minorEastAsia" w:eastAsiaTheme="minorEastAsia"/>
                <w:sz w:val="21"/>
                <w:szCs w:val="21"/>
                <w:shd w:val="clear" w:color="auto" w:fill="FFFFFF"/>
              </w:rPr>
              <w:t>包括了解企业会计工作组织与会计职业；描述会计、会计目标和会计方法；划分会计要素，建立会计等式，开设会计账户，运用借贷记账法；核算企业主要经营过程的经济业务和成本计算，填制和审核会计凭证；设置和登记会计账簿；组织和开展财产清查；编制和报送会计报表；选择和应用账务处理程序。</w:t>
            </w:r>
            <w:r>
              <w:rPr>
                <w:rFonts w:cs="Verdana" w:asciiTheme="minorEastAsia" w:hAnsiTheme="minorEastAsia" w:eastAsiaTheme="minorEastAsia"/>
                <w:sz w:val="21"/>
                <w:szCs w:val="21"/>
                <w:shd w:val="clear" w:color="auto" w:fill="FFFFFF"/>
              </w:rPr>
              <w:t>要求学生</w:t>
            </w:r>
            <w:r>
              <w:rPr>
                <w:rFonts w:cs="宋体" w:asciiTheme="minorEastAsia" w:hAnsiTheme="minorEastAsia" w:eastAsiaTheme="minorEastAsia"/>
                <w:sz w:val="21"/>
                <w:szCs w:val="21"/>
                <w:shd w:val="clear" w:color="auto" w:fill="FFFFFF"/>
              </w:rPr>
              <w:t>要求学生了解会计对象及会计的基本要素。理解会计科目内涵。掌握复式记账原理及借贷记账方法。熟练操作建账、填制与审核会计凭证、登记账簿、财产清查、编制会计报表等账务处理能力。</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c>
          <w:tcPr>
            <w:tcW w:w="3021"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 xml:space="preserve">  经济法基础</w:t>
            </w:r>
          </w:p>
        </w:tc>
        <w:tc>
          <w:tcPr>
            <w:tcW w:w="8567" w:type="dxa"/>
            <w:vAlign w:val="bottom"/>
          </w:tcPr>
          <w:p>
            <w:pPr>
              <w:spacing w:line="360" w:lineRule="auto"/>
              <w:rPr>
                <w:rFonts w:asciiTheme="minorEastAsia" w:hAnsiTheme="minorEastAsia" w:eastAsiaTheme="minorEastAsia" w:cstheme="majorEastAsia"/>
                <w:szCs w:val="21"/>
              </w:rPr>
            </w:pPr>
            <w:r>
              <w:rPr>
                <w:rFonts w:hint="eastAsia" w:asciiTheme="minorEastAsia" w:hAnsiTheme="minorEastAsia" w:eastAsiaTheme="minorEastAsia"/>
                <w:szCs w:val="21"/>
              </w:rPr>
              <w:t>内容重点包括经济法概论、会计法律制度；支付结算法律制度；税收法律制度；税收征收管理法律制度；劳动合同与社会保险法律制度。要求学生能够运用所学理论知识分析经济社会中一些简单的案例，并在毕业后的实际工作中能够利用法律武器维护企业、客户及个人的合法权益，同时能提高学生法律素质，增强法律意识，并将其内化成遵纪守法、自觉自律、维护自身合法权益的强大动力。</w:t>
            </w:r>
          </w:p>
        </w:tc>
        <w:tc>
          <w:tcPr>
            <w:tcW w:w="1279" w:type="dxa"/>
            <w:vAlign w:val="bottom"/>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5</w:t>
            </w:r>
          </w:p>
        </w:tc>
        <w:tc>
          <w:tcPr>
            <w:tcW w:w="3021"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金融服务外包理论与实务</w:t>
            </w:r>
          </w:p>
        </w:tc>
        <w:tc>
          <w:tcPr>
            <w:tcW w:w="8567" w:type="dxa"/>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内容包括服务外包的产生和发展、服务外包相关概念及分类、服务外包与社会经济、服务外包理论综述、服务外包发展条件、服务外包的发展战略与相应的产业规划探索、服务外包企业管理、中国发展服务外包战略分析、世界主要外包承接国家、世界主要的服务外包发包方、服务外包产业成功案例、服务外包新趋势等。要求学生理解服务外包业务，掌握金融服务外包业务的工作技能。</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6</w:t>
            </w:r>
          </w:p>
        </w:tc>
        <w:tc>
          <w:tcPr>
            <w:tcW w:w="3021" w:type="dxa"/>
            <w:vAlign w:val="center"/>
          </w:tcPr>
          <w:p>
            <w:pPr>
              <w:pStyle w:val="14"/>
              <w:spacing w:before="0" w:beforeAutospacing="0" w:after="0" w:afterAutospacing="0" w:line="360" w:lineRule="auto"/>
              <w:jc w:val="both"/>
              <w:rPr>
                <w:rFonts w:hint="default" w:asciiTheme="minorEastAsia" w:hAnsiTheme="minorEastAsia" w:eastAsiaTheme="minorEastAsia" w:cstheme="majorEastAsia"/>
                <w:kern w:val="2"/>
                <w:sz w:val="21"/>
                <w:szCs w:val="21"/>
              </w:rPr>
            </w:pPr>
            <w:r>
              <w:rPr>
                <w:rFonts w:asciiTheme="minorEastAsia" w:hAnsiTheme="minorEastAsia" w:eastAsiaTheme="minorEastAsia"/>
                <w:color w:val="404040"/>
                <w:sz w:val="21"/>
                <w:szCs w:val="21"/>
                <w:shd w:val="clear" w:color="auto" w:fill="FFFFFF"/>
              </w:rPr>
              <w:t>互联网金融原理与实务</w:t>
            </w:r>
          </w:p>
        </w:tc>
        <w:tc>
          <w:tcPr>
            <w:tcW w:w="8567" w:type="dxa"/>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内容分为三篇12章来解读和剖析互联网金融的有关问题。第一篇重点介绍互联网金融的基础理论知识，对互联网金融的基本概念、本质、特征、发展成因及其发展概况做了梳理和澄清。第二篇重点介绍当前互联网金融的发展模式，以及各个主要互联网金融模式的交易模式、框架及特点，并结合大量实例来解读各个模式的运作机理。第三篇重点介绍当下以及未来我国互联网金融的监管问题，并对美国、英国等互联网金融发达国家的一些监管制度进行介绍。要求学生系统了解互联网金融运作的基本机制,能利用所学知识初步分析互联网金融发展趋势,理解生活中出现的金融现象.</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7</w:t>
            </w:r>
          </w:p>
        </w:tc>
        <w:tc>
          <w:tcPr>
            <w:tcW w:w="3021"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保险客户服务与管理</w:t>
            </w:r>
          </w:p>
        </w:tc>
        <w:tc>
          <w:tcPr>
            <w:tcW w:w="8567" w:type="dxa"/>
          </w:tcPr>
          <w:p>
            <w:pPr>
              <w:pStyle w:val="14"/>
              <w:shd w:val="clear" w:color="auto" w:fill="FFFFFF"/>
              <w:spacing w:before="0" w:beforeAutospacing="0" w:after="0" w:afterAutospacing="0" w:line="360" w:lineRule="auto"/>
              <w:ind w:firstLine="480"/>
              <w:rPr>
                <w:rFonts w:hint="default" w:cs="Arial" w:asciiTheme="minorEastAsia" w:hAnsiTheme="minorEastAsia" w:eastAsiaTheme="minorEastAsia"/>
                <w:color w:val="333333"/>
                <w:sz w:val="21"/>
                <w:szCs w:val="21"/>
              </w:rPr>
            </w:pPr>
            <w:r>
              <w:rPr>
                <w:rFonts w:asciiTheme="minorEastAsia" w:hAnsiTheme="minorEastAsia" w:eastAsiaTheme="minorEastAsia" w:cstheme="majorEastAsia"/>
                <w:kern w:val="2"/>
                <w:sz w:val="21"/>
                <w:szCs w:val="21"/>
              </w:rPr>
              <w:t>内容包括</w:t>
            </w:r>
            <w:r>
              <w:rPr>
                <w:rFonts w:cs="Arial" w:asciiTheme="minorEastAsia" w:hAnsiTheme="minorEastAsia" w:eastAsiaTheme="minorEastAsia"/>
                <w:color w:val="333333"/>
                <w:sz w:val="21"/>
                <w:szCs w:val="21"/>
              </w:rPr>
              <w:t>初识客户服务,有效沟通, 保险柜面管理,保险咨询和投诉管理,保险客户关系管理,服务规划,保险呼叫中心管理</w:t>
            </w:r>
            <w:r>
              <w:rPr>
                <w:rFonts w:asciiTheme="minorEastAsia" w:hAnsiTheme="minorEastAsia" w:eastAsiaTheme="minorEastAsia" w:cstheme="majorEastAsia"/>
                <w:kern w:val="2"/>
                <w:sz w:val="21"/>
                <w:szCs w:val="21"/>
              </w:rPr>
              <w:t>。要求学生通过对保险客户服务相关业务的仿真操作与情景模拟的学习，能够了解保险公司客户服务部不同岗位应具备的知识与技能，掌握各项服务业务的基本流程，初步具备从事保险客户服务与管理的操作技能，具有善于沟通和合作的品质，为学生发展各专业化方向的职业能力奠定基础。</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8</w:t>
            </w:r>
          </w:p>
        </w:tc>
        <w:tc>
          <w:tcPr>
            <w:tcW w:w="3021"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金融营销实务</w:t>
            </w:r>
          </w:p>
        </w:tc>
        <w:tc>
          <w:tcPr>
            <w:tcW w:w="8567" w:type="dxa"/>
          </w:tcPr>
          <w:p>
            <w:pPr>
              <w:widowControl/>
              <w:spacing w:line="360" w:lineRule="auto"/>
              <w:ind w:firstLine="397"/>
              <w:jc w:val="left"/>
              <w:rPr>
                <w:rFonts w:asciiTheme="minorEastAsia" w:hAnsiTheme="minorEastAsia" w:eastAsiaTheme="minorEastAsia" w:cstheme="majorEastAsia"/>
                <w:szCs w:val="21"/>
              </w:rPr>
            </w:pPr>
            <w:r>
              <w:rPr>
                <w:rFonts w:hint="eastAsia" w:cs="宋体" w:asciiTheme="minorEastAsia" w:hAnsiTheme="minorEastAsia" w:eastAsiaTheme="minorEastAsia"/>
                <w:color w:val="1A1A1A"/>
                <w:kern w:val="0"/>
                <w:szCs w:val="21"/>
              </w:rPr>
              <w:t>内容包括金融营销概述，金融营销策，金融服务营销，金融产品开发与营销管理，银行卡营销实务，金融客户经理，客户沟通与产品推广，金融网络营销，金融营销创新。通过金融营销实务课程的学习与训练实践活动，掌握金融营销实务方面的基础知识、基本理论，对金融营销实务有全面、系统的了解和较为深刻的认识，对金融营销策划、战略的制定，对银行业、证券业、保险业等主要金融企业服务营销的行为分析，对金融产品开发与营销管理，银行卡营销实务，金融客户经理制度，客户沟通与产品推广，以及金融</w:t>
            </w:r>
            <w:r>
              <w:rPr>
                <w:rFonts w:cs="宋体" w:asciiTheme="minorEastAsia" w:hAnsiTheme="minorEastAsia" w:eastAsiaTheme="minorEastAsia"/>
                <w:color w:val="1A1A1A"/>
                <w:kern w:val="0"/>
                <w:szCs w:val="21"/>
              </w:rPr>
              <w:t>行业网络营销现状，金融营销的创新形式</w:t>
            </w:r>
            <w:r>
              <w:rPr>
                <w:rFonts w:hint="eastAsia" w:cs="宋体" w:asciiTheme="minorEastAsia" w:hAnsiTheme="minorEastAsia" w:eastAsiaTheme="minorEastAsia"/>
                <w:color w:val="1A1A1A"/>
                <w:kern w:val="0"/>
                <w:szCs w:val="21"/>
              </w:rPr>
              <w:t>有较为系统的掌握。</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9</w:t>
            </w:r>
          </w:p>
        </w:tc>
        <w:tc>
          <w:tcPr>
            <w:tcW w:w="3021"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财务决策</w:t>
            </w:r>
          </w:p>
        </w:tc>
        <w:tc>
          <w:tcPr>
            <w:tcW w:w="8567" w:type="dxa"/>
          </w:tcPr>
          <w:p>
            <w:pPr>
              <w:adjustRightInd w:val="0"/>
              <w:snapToGrid w:val="0"/>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内容涉及企业整体战略、产品研发、生产、市场、销售、财务管理、账务处理、团队协作等多个方面，让学生在游戏般的训练中体验完整的企业经营过程，感受企业发展的典型历程，感悟正确的经营思路和管理理念。通过模拟训练，能够让他们直观感性认识企业，初步了解企业的经营流程和经营决策，了解企业的组织机构设置及其相互之间的关系，感知企业经营的艰辛，体会企业经营涉及的知识以及团队合作的重要性。</w:t>
            </w:r>
          </w:p>
        </w:tc>
        <w:tc>
          <w:tcPr>
            <w:tcW w:w="1279" w:type="dxa"/>
            <w:vAlign w:val="center"/>
          </w:tcPr>
          <w:p>
            <w:pPr>
              <w:pStyle w:val="14"/>
              <w:spacing w:before="0" w:beforeAutospacing="0" w:after="0" w:afterAutospacing="0" w:line="360" w:lineRule="auto"/>
              <w:ind w:firstLine="420" w:firstLineChars="200"/>
              <w:rPr>
                <w:rFonts w:hint="default" w:asciiTheme="minorEastAsia" w:hAnsiTheme="minorEastAsia" w:eastAsiaTheme="minorEastAsia" w:cstheme="majorEastAsia"/>
                <w:kern w:val="2"/>
                <w:sz w:val="21"/>
                <w:szCs w:val="21"/>
              </w:rPr>
            </w:pPr>
            <w:r>
              <w:rPr>
                <w:rFonts w:asciiTheme="minorEastAsia" w:hAnsiTheme="minorEastAsia" w:eastAsiaTheme="minorEastAsia" w:cstheme="majorEastAsia"/>
                <w:kern w:val="2"/>
                <w:sz w:val="21"/>
                <w:szCs w:val="21"/>
              </w:rPr>
              <w:t>4</w:t>
            </w:r>
          </w:p>
        </w:tc>
      </w:tr>
    </w:tbl>
    <w:p>
      <w:pPr>
        <w:adjustRightInd w:val="0"/>
        <w:spacing w:line="360" w:lineRule="auto"/>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4.专业选修课程</w:t>
      </w:r>
    </w:p>
    <w:p>
      <w:pPr>
        <w:spacing w:line="360" w:lineRule="auto"/>
        <w:ind w:right="-82" w:rightChars="-39"/>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表 5、专业选修课程一览表</w:t>
      </w:r>
    </w:p>
    <w:tbl>
      <w:tblPr>
        <w:tblStyle w:val="18"/>
        <w:tblW w:w="13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2747"/>
        <w:gridCol w:w="1770"/>
        <w:gridCol w:w="1739"/>
        <w:gridCol w:w="1048"/>
        <w:gridCol w:w="1048"/>
        <w:gridCol w:w="1048"/>
        <w:gridCol w:w="1394"/>
        <w:gridCol w:w="1048"/>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1047"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序号</w:t>
            </w:r>
          </w:p>
        </w:tc>
        <w:tc>
          <w:tcPr>
            <w:tcW w:w="2747"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课程名称</w:t>
            </w:r>
          </w:p>
        </w:tc>
        <w:tc>
          <w:tcPr>
            <w:tcW w:w="1770"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课程性质</w:t>
            </w:r>
          </w:p>
        </w:tc>
        <w:tc>
          <w:tcPr>
            <w:tcW w:w="1739"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课程类型</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学分</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学时</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学期</w:t>
            </w:r>
          </w:p>
        </w:tc>
        <w:tc>
          <w:tcPr>
            <w:tcW w:w="139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周学时</w:t>
            </w:r>
          </w:p>
        </w:tc>
        <w:tc>
          <w:tcPr>
            <w:tcW w:w="104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周数</w:t>
            </w:r>
          </w:p>
        </w:tc>
        <w:tc>
          <w:tcPr>
            <w:tcW w:w="104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营销策划</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17</w:t>
            </w:r>
          </w:p>
        </w:tc>
        <w:tc>
          <w:tcPr>
            <w:tcW w:w="1045" w:type="dxa"/>
            <w:vMerge w:val="restart"/>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综合类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客户关系管理</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17</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理财规划</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信用卡基础知识</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营销方案设计</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B</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财务决策实训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17</w:t>
            </w:r>
          </w:p>
        </w:tc>
        <w:tc>
          <w:tcPr>
            <w:tcW w:w="1045" w:type="dxa"/>
            <w:vMerge w:val="restart"/>
            <w:vAlign w:val="center"/>
          </w:tcPr>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VBSE财务综合实训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基础会计电子实训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虚拟报税实训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34</w:t>
            </w:r>
          </w:p>
        </w:tc>
        <w:tc>
          <w:tcPr>
            <w:tcW w:w="1048" w:type="dxa"/>
            <w:vAlign w:val="center"/>
          </w:tcPr>
          <w:p>
            <w:pPr>
              <w:pStyle w:val="14"/>
              <w:widowControl w:val="0"/>
              <w:spacing w:before="0" w:beforeAutospacing="0" w:after="0" w:afterAutospacing="0" w:line="360" w:lineRule="auto"/>
              <w:jc w:val="center"/>
              <w:rPr>
                <w:rFonts w:hint="default" w:asciiTheme="minorEastAsia" w:hAnsiTheme="minorEastAsia" w:eastAsiaTheme="minorEastAsia" w:cstheme="minorEastAsia"/>
                <w:color w:val="000000" w:themeColor="text1"/>
                <w:kern w:val="2"/>
                <w:sz w:val="21"/>
                <w:szCs w:val="21"/>
              </w:rPr>
            </w:pPr>
            <w:r>
              <w:rPr>
                <w:rFonts w:asciiTheme="minorEastAsia" w:hAnsiTheme="minorEastAsia" w:eastAsiaTheme="minorEastAsia" w:cstheme="minorEastAsia"/>
                <w:color w:val="000000" w:themeColor="text1"/>
                <w:kern w:val="2"/>
                <w:sz w:val="21"/>
                <w:szCs w:val="21"/>
              </w:rPr>
              <w:t>5</w:t>
            </w:r>
          </w:p>
        </w:tc>
        <w:tc>
          <w:tcPr>
            <w:tcW w:w="1394" w:type="dxa"/>
            <w:vAlign w:val="center"/>
          </w:tcPr>
          <w:p>
            <w:pPr>
              <w:pStyle w:val="14"/>
              <w:widowControl w:val="0"/>
              <w:spacing w:before="0" w:beforeAutospacing="0" w:after="0" w:afterAutospacing="0" w:line="360" w:lineRule="auto"/>
              <w:jc w:val="center"/>
              <w:rPr>
                <w:rFonts w:hint="default" w:asciiTheme="minorEastAsia" w:hAnsiTheme="minorEastAsia" w:eastAsiaTheme="minorEastAsia" w:cstheme="minorEastAsia"/>
                <w:color w:val="000000" w:themeColor="text1"/>
                <w:kern w:val="2"/>
                <w:sz w:val="21"/>
                <w:szCs w:val="21"/>
              </w:rPr>
            </w:pPr>
            <w:r>
              <w:rPr>
                <w:rFonts w:asciiTheme="minorEastAsia" w:hAnsiTheme="minorEastAsia" w:eastAsiaTheme="minorEastAsia" w:cstheme="minorEastAsia"/>
                <w:color w:val="000000" w:themeColor="text1"/>
                <w:kern w:val="2"/>
                <w:sz w:val="2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金融营销技能实训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金融服务外包综合实训</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36</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17</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12</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EXCEL数据处理与财务分析</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34</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17</w:t>
            </w: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消费心理学</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14</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金融外包职业素养</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电话营销技巧</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专业讲座</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0.1</w:t>
            </w:r>
          </w:p>
        </w:tc>
        <w:tc>
          <w:tcPr>
            <w:tcW w:w="1048" w:type="dxa"/>
            <w:vAlign w:val="center"/>
          </w:tcPr>
          <w:p>
            <w:pPr>
              <w:pStyle w:val="14"/>
              <w:widowControl w:val="0"/>
              <w:spacing w:before="0" w:beforeAutospacing="0" w:after="0" w:afterAutospacing="0" w:line="360" w:lineRule="auto"/>
              <w:jc w:val="center"/>
              <w:rPr>
                <w:rFonts w:hint="default" w:asciiTheme="minorEastAsia" w:hAnsiTheme="minorEastAsia" w:eastAsiaTheme="minorEastAsia" w:cstheme="minorEastAsia"/>
                <w:color w:val="000000" w:themeColor="text1"/>
                <w:sz w:val="21"/>
                <w:szCs w:val="21"/>
              </w:rPr>
            </w:pPr>
            <w:r>
              <w:rPr>
                <w:rFonts w:asciiTheme="minorEastAsia" w:hAnsiTheme="minorEastAsia" w:eastAsiaTheme="minorEastAsia" w:cstheme="minorEastAsia"/>
                <w:color w:val="000000" w:themeColor="text1"/>
                <w:sz w:val="2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5" w:type="dxa"/>
            <w:vMerge w:val="restart"/>
            <w:vAlign w:val="center"/>
          </w:tcPr>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活动类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17</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金融服务礼仪</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社会实践</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19</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社团活动</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w:t>
            </w:r>
          </w:p>
        </w:tc>
        <w:tc>
          <w:tcPr>
            <w:tcW w:w="27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技能大赛</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21</w:t>
            </w:r>
          </w:p>
        </w:tc>
        <w:tc>
          <w:tcPr>
            <w:tcW w:w="2747" w:type="dxa"/>
            <w:vAlign w:val="center"/>
          </w:tcPr>
          <w:p>
            <w:pPr>
              <w:widowControl/>
              <w:spacing w:line="360" w:lineRule="auto"/>
              <w:jc w:val="center"/>
              <w:rPr>
                <w:rFonts w:asciiTheme="minorEastAsia" w:hAnsiTheme="minorEastAsia" w:eastAsiaTheme="minorEastAsia" w:cstheme="minorEastAsia"/>
                <w:color w:val="000000" w:themeColor="text1"/>
                <w:kern w:val="0"/>
                <w:szCs w:val="21"/>
              </w:rPr>
            </w:pPr>
            <w:r>
              <w:rPr>
                <w:rFonts w:hint="eastAsia" w:asciiTheme="minorEastAsia" w:hAnsiTheme="minorEastAsia" w:eastAsiaTheme="minorEastAsia" w:cstheme="minorEastAsia"/>
                <w:color w:val="000000" w:themeColor="text1"/>
                <w:kern w:val="0"/>
                <w:szCs w:val="21"/>
              </w:rPr>
              <w:t>沟通技巧</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22</w:t>
            </w:r>
          </w:p>
        </w:tc>
        <w:tc>
          <w:tcPr>
            <w:tcW w:w="2747" w:type="dxa"/>
            <w:vAlign w:val="center"/>
          </w:tcPr>
          <w:p>
            <w:pPr>
              <w:widowControl/>
              <w:spacing w:line="360" w:lineRule="auto"/>
              <w:jc w:val="center"/>
              <w:rPr>
                <w:rFonts w:asciiTheme="minorEastAsia" w:hAnsiTheme="minorEastAsia" w:eastAsiaTheme="minorEastAsia" w:cstheme="minorEastAsia"/>
                <w:color w:val="000000" w:themeColor="text1"/>
                <w:kern w:val="0"/>
                <w:szCs w:val="21"/>
              </w:rPr>
            </w:pPr>
            <w:r>
              <w:rPr>
                <w:rFonts w:hint="eastAsia" w:asciiTheme="minorEastAsia" w:hAnsiTheme="minorEastAsia" w:eastAsiaTheme="minorEastAsia" w:cstheme="minorEastAsia"/>
                <w:color w:val="000000" w:themeColor="text1"/>
                <w:kern w:val="0"/>
                <w:szCs w:val="21"/>
              </w:rPr>
              <w:t>会议管理</w:t>
            </w:r>
          </w:p>
        </w:tc>
        <w:tc>
          <w:tcPr>
            <w:tcW w:w="177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专业选修课</w:t>
            </w:r>
          </w:p>
        </w:tc>
        <w:tc>
          <w:tcPr>
            <w:tcW w:w="1739"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C</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0.1</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1394"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8" w:type="dxa"/>
            <w:vAlign w:val="center"/>
          </w:tcPr>
          <w:p>
            <w:pPr>
              <w:spacing w:line="360" w:lineRule="auto"/>
              <w:jc w:val="center"/>
              <w:rPr>
                <w:rFonts w:asciiTheme="minorEastAsia" w:hAnsiTheme="minorEastAsia" w:eastAsiaTheme="minorEastAsia" w:cstheme="minorEastAsia"/>
                <w:color w:val="000000" w:themeColor="text1"/>
                <w:szCs w:val="21"/>
              </w:rPr>
            </w:pPr>
          </w:p>
        </w:tc>
        <w:tc>
          <w:tcPr>
            <w:tcW w:w="1045"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bl>
    <w:p>
      <w:pPr>
        <w:adjustRightInd w:val="0"/>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5.实习实训</w:t>
      </w:r>
    </w:p>
    <w:p>
      <w:pPr>
        <w:spacing w:line="360" w:lineRule="auto"/>
        <w:ind w:right="-82" w:rightChars="-39"/>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 xml:space="preserve">   （1）认知实习</w:t>
      </w:r>
    </w:p>
    <w:p>
      <w:pPr>
        <w:spacing w:line="360" w:lineRule="auto"/>
        <w:ind w:right="-82" w:rightChars="-39" w:firstLine="420" w:firstLineChars="200"/>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认知实习是本专业人才培养方案的重要组成部分，是本专业基础知识学习和专业核心知识学习之间的连接和实践环节。</w:t>
      </w:r>
    </w:p>
    <w:p>
      <w:pPr>
        <w:spacing w:line="360" w:lineRule="auto"/>
        <w:ind w:right="-82" w:rightChars="-39" w:firstLine="420" w:firstLineChars="200"/>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表6 、认知实习</w:t>
      </w:r>
      <w:r>
        <w:rPr>
          <w:rFonts w:hint="eastAsia" w:cs="仿宋" w:asciiTheme="minorEastAsia" w:hAnsiTheme="minorEastAsia" w:eastAsiaTheme="minorEastAsia"/>
          <w:color w:val="000000" w:themeColor="text1"/>
          <w:kern w:val="0"/>
          <w:szCs w:val="21"/>
        </w:rPr>
        <w:t>一览表</w:t>
      </w:r>
    </w:p>
    <w:tbl>
      <w:tblPr>
        <w:tblStyle w:val="19"/>
        <w:tblW w:w="13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3619"/>
        <w:gridCol w:w="7153"/>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1337" w:type="dxa"/>
            <w:vAlign w:val="center"/>
          </w:tcPr>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color w:val="000000" w:themeColor="text1"/>
                <w:kern w:val="0"/>
                <w:szCs w:val="21"/>
              </w:rPr>
              <w:t>项目</w:t>
            </w:r>
          </w:p>
        </w:tc>
        <w:tc>
          <w:tcPr>
            <w:tcW w:w="3619" w:type="dxa"/>
            <w:vAlign w:val="center"/>
          </w:tcPr>
          <w:p>
            <w:pPr>
              <w:spacing w:line="360" w:lineRule="auto"/>
              <w:ind w:right="-82" w:rightChars="-39"/>
              <w:jc w:val="center"/>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bCs/>
                <w:color w:val="000000" w:themeColor="text1"/>
                <w:szCs w:val="21"/>
              </w:rPr>
              <w:t>认知实习</w:t>
            </w:r>
            <w:r>
              <w:rPr>
                <w:rFonts w:hint="eastAsia" w:cs="仿宋" w:asciiTheme="minorEastAsia" w:hAnsiTheme="minorEastAsia" w:eastAsiaTheme="minorEastAsia"/>
                <w:color w:val="000000" w:themeColor="text1"/>
                <w:kern w:val="0"/>
                <w:szCs w:val="21"/>
              </w:rPr>
              <w:t>的内容</w:t>
            </w:r>
          </w:p>
        </w:tc>
        <w:tc>
          <w:tcPr>
            <w:tcW w:w="7153" w:type="dxa"/>
            <w:vAlign w:val="center"/>
          </w:tcPr>
          <w:p>
            <w:pPr>
              <w:spacing w:line="360" w:lineRule="auto"/>
              <w:ind w:right="-82" w:rightChars="-39"/>
              <w:jc w:val="center"/>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bCs/>
                <w:color w:val="000000" w:themeColor="text1"/>
                <w:szCs w:val="21"/>
              </w:rPr>
              <w:t>认知实习</w:t>
            </w:r>
            <w:r>
              <w:rPr>
                <w:rFonts w:hint="eastAsia" w:cs="仿宋" w:asciiTheme="minorEastAsia" w:hAnsiTheme="minorEastAsia" w:eastAsiaTheme="minorEastAsia"/>
                <w:color w:val="000000" w:themeColor="text1"/>
                <w:kern w:val="0"/>
                <w:szCs w:val="21"/>
              </w:rPr>
              <w:t>的要求</w:t>
            </w:r>
          </w:p>
        </w:tc>
        <w:tc>
          <w:tcPr>
            <w:tcW w:w="1672"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课时</w:t>
            </w:r>
          </w:p>
          <w:p>
            <w:pPr>
              <w:widowControl/>
              <w:adjustRightInd w:val="0"/>
              <w:snapToGrid w:val="0"/>
              <w:spacing w:line="360" w:lineRule="auto"/>
              <w:jc w:val="center"/>
              <w:rPr>
                <w:rFonts w:cs="仿宋" w:asciiTheme="minorEastAsia" w:hAnsiTheme="minorEastAsia" w:eastAsiaTheme="minorEastAsia"/>
                <w:color w:val="000000" w:themeColor="text1"/>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2" w:hRule="atLeast"/>
        </w:trPr>
        <w:tc>
          <w:tcPr>
            <w:tcW w:w="1337"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认知实习</w:t>
            </w:r>
          </w:p>
          <w:p>
            <w:pPr>
              <w:widowControl/>
              <w:adjustRightInd w:val="0"/>
              <w:snapToGrid w:val="0"/>
              <w:spacing w:line="360" w:lineRule="auto"/>
              <w:jc w:val="center"/>
              <w:rPr>
                <w:rFonts w:cs="仿宋" w:asciiTheme="minorEastAsia" w:hAnsiTheme="minorEastAsia" w:eastAsiaTheme="minorEastAsia"/>
                <w:color w:val="000000" w:themeColor="text1"/>
                <w:kern w:val="0"/>
                <w:szCs w:val="21"/>
              </w:rPr>
            </w:pPr>
          </w:p>
        </w:tc>
        <w:tc>
          <w:tcPr>
            <w:tcW w:w="3619" w:type="dxa"/>
            <w:vAlign w:val="center"/>
          </w:tcPr>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color w:val="000000" w:themeColor="text1"/>
                <w:szCs w:val="21"/>
                <w:shd w:val="clear" w:color="auto" w:fill="FFFFFF"/>
              </w:rPr>
              <w:t>1，工作岗位的一般要求，2，工作环境的基本条件，3，目前在岗位工作的人们对职业岗位的认识和理解，4，企业或公司对员工的基本要求。</w:t>
            </w:r>
          </w:p>
        </w:tc>
        <w:tc>
          <w:tcPr>
            <w:tcW w:w="7153" w:type="dxa"/>
            <w:vAlign w:val="center"/>
          </w:tcPr>
          <w:p>
            <w:pPr>
              <w:spacing w:line="360" w:lineRule="auto"/>
              <w:ind w:right="-82" w:rightChars="-39" w:firstLine="420" w:firstLineChars="200"/>
              <w:jc w:val="center"/>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color w:val="000000" w:themeColor="text1"/>
                <w:szCs w:val="21"/>
                <w:shd w:val="clear" w:color="auto" w:fill="FFFFFF"/>
              </w:rPr>
              <w:t>认知实习是对书本知识的巩固加深。需要到工作岗位的环境去参观，去了解今后将要工作（实习）的环境，增加对将要从事的职业岗位的初级认识，只有学员积极参加认知实习，对未来工作岗位、工作内容有了初步的认识，才能有针对性的继续学习。</w:t>
            </w:r>
          </w:p>
        </w:tc>
        <w:tc>
          <w:tcPr>
            <w:tcW w:w="1672" w:type="dxa"/>
            <w:vAlign w:val="center"/>
          </w:tcPr>
          <w:p>
            <w:pPr>
              <w:widowControl/>
              <w:adjustRightInd w:val="0"/>
              <w:snapToGrid w:val="0"/>
              <w:spacing w:line="360" w:lineRule="auto"/>
              <w:jc w:val="center"/>
              <w:rPr>
                <w:rFonts w:cs="仿宋" w:asciiTheme="minorEastAsia" w:hAnsiTheme="minorEastAsia" w:eastAsiaTheme="minorEastAsia"/>
                <w:color w:val="000000" w:themeColor="text1"/>
                <w:kern w:val="0"/>
                <w:szCs w:val="21"/>
              </w:rPr>
            </w:pPr>
          </w:p>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color w:val="000000" w:themeColor="text1"/>
                <w:kern w:val="0"/>
                <w:szCs w:val="21"/>
              </w:rPr>
              <w:t>1周</w:t>
            </w:r>
          </w:p>
        </w:tc>
      </w:tr>
    </w:tbl>
    <w:p>
      <w:pPr>
        <w:spacing w:line="360" w:lineRule="auto"/>
        <w:ind w:right="-82" w:rightChars="-39" w:firstLine="480"/>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（2）综合实训</w:t>
      </w:r>
    </w:p>
    <w:p>
      <w:pPr>
        <w:spacing w:line="360" w:lineRule="auto"/>
        <w:ind w:right="-82" w:rightChars="-39" w:firstLine="480"/>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学生在学校模拟实训室</w:t>
      </w:r>
      <w:r>
        <w:rPr>
          <w:rFonts w:hint="eastAsia" w:cs="仿宋" w:asciiTheme="minorEastAsia" w:hAnsiTheme="minorEastAsia" w:eastAsiaTheme="minorEastAsia"/>
          <w:color w:val="000000" w:themeColor="text1"/>
          <w:szCs w:val="21"/>
        </w:rPr>
        <w:t>、</w:t>
      </w:r>
      <w:r>
        <w:rPr>
          <w:rFonts w:hint="eastAsia" w:cs="仿宋" w:asciiTheme="minorEastAsia" w:hAnsiTheme="minorEastAsia" w:eastAsiaTheme="minorEastAsia"/>
          <w:bCs/>
          <w:color w:val="000000" w:themeColor="text1"/>
          <w:szCs w:val="21"/>
        </w:rPr>
        <w:t>实训基地或</w:t>
      </w:r>
      <w:r>
        <w:rPr>
          <w:rFonts w:hint="eastAsia" w:cs="仿宋" w:asciiTheme="minorEastAsia" w:hAnsiTheme="minorEastAsia" w:eastAsiaTheme="minorEastAsia"/>
          <w:color w:val="000000" w:themeColor="text1"/>
          <w:szCs w:val="21"/>
        </w:rPr>
        <w:t>工作岗位</w:t>
      </w:r>
      <w:r>
        <w:rPr>
          <w:rFonts w:hint="eastAsia" w:cs="仿宋" w:asciiTheme="minorEastAsia" w:hAnsiTheme="minorEastAsia" w:eastAsiaTheme="minorEastAsia"/>
          <w:bCs/>
          <w:color w:val="000000" w:themeColor="text1"/>
          <w:szCs w:val="21"/>
        </w:rPr>
        <w:t>分别进行财务会计</w:t>
      </w:r>
      <w:r>
        <w:rPr>
          <w:rFonts w:hint="eastAsia" w:cs="仿宋" w:asciiTheme="minorEastAsia" w:hAnsiTheme="minorEastAsia" w:eastAsiaTheme="minorEastAsia"/>
          <w:color w:val="000000" w:themeColor="text1"/>
          <w:szCs w:val="21"/>
        </w:rPr>
        <w:t>、</w:t>
      </w:r>
      <w:r>
        <w:rPr>
          <w:rFonts w:hint="eastAsia" w:cs="仿宋" w:asciiTheme="minorEastAsia" w:hAnsiTheme="minorEastAsia" w:eastAsiaTheme="minorEastAsia"/>
          <w:bCs/>
          <w:color w:val="000000" w:themeColor="text1"/>
          <w:szCs w:val="21"/>
        </w:rPr>
        <w:t>虚拟报税</w:t>
      </w:r>
      <w:r>
        <w:rPr>
          <w:rFonts w:hint="eastAsia" w:cs="仿宋" w:asciiTheme="minorEastAsia" w:hAnsiTheme="minorEastAsia" w:eastAsiaTheme="minorEastAsia"/>
          <w:color w:val="000000" w:themeColor="text1"/>
          <w:szCs w:val="21"/>
        </w:rPr>
        <w:t>、</w:t>
      </w:r>
      <w:r>
        <w:rPr>
          <w:rFonts w:hint="eastAsia" w:cs="仿宋" w:asciiTheme="minorEastAsia" w:hAnsiTheme="minorEastAsia" w:eastAsiaTheme="minorEastAsia"/>
          <w:bCs/>
          <w:color w:val="000000" w:themeColor="text1"/>
          <w:szCs w:val="21"/>
        </w:rPr>
        <w:t>会计信息化等综合实训，学生参与工作过程，全面了解各个岗位的工作过程及相关规程，同时熟练掌握各个工作岗位的技能。</w:t>
      </w:r>
    </w:p>
    <w:p>
      <w:pPr>
        <w:spacing w:line="360" w:lineRule="auto"/>
        <w:jc w:val="center"/>
        <w:rPr>
          <w:rFonts w:asciiTheme="minorEastAsia" w:hAnsiTheme="minorEastAsia" w:eastAsiaTheme="minorEastAsia"/>
          <w:b/>
          <w:color w:val="000000" w:themeColor="text1"/>
          <w:szCs w:val="21"/>
        </w:rPr>
      </w:pPr>
      <w:r>
        <w:rPr>
          <w:rFonts w:hint="eastAsia" w:cs="仿宋" w:asciiTheme="minorEastAsia" w:hAnsiTheme="minorEastAsia" w:eastAsiaTheme="minorEastAsia"/>
          <w:bCs/>
          <w:color w:val="000000" w:themeColor="text1"/>
          <w:szCs w:val="21"/>
        </w:rPr>
        <w:t>表7、 综合实训</w:t>
      </w:r>
      <w:r>
        <w:rPr>
          <w:rFonts w:hint="eastAsia" w:cs="仿宋" w:asciiTheme="minorEastAsia" w:hAnsiTheme="minorEastAsia" w:eastAsiaTheme="minorEastAsia"/>
          <w:color w:val="000000" w:themeColor="text1"/>
          <w:kern w:val="0"/>
          <w:szCs w:val="21"/>
        </w:rPr>
        <w:t>一览表</w:t>
      </w:r>
    </w:p>
    <w:tbl>
      <w:tblPr>
        <w:tblStyle w:val="18"/>
        <w:tblW w:w="13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859"/>
        <w:gridCol w:w="3606"/>
        <w:gridCol w:w="3262"/>
        <w:gridCol w:w="859"/>
        <w:gridCol w:w="1619"/>
        <w:gridCol w:w="1129"/>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序号</w:t>
            </w:r>
          </w:p>
        </w:tc>
        <w:tc>
          <w:tcPr>
            <w:tcW w:w="859" w:type="dxa"/>
            <w:vAlign w:val="center"/>
          </w:tcPr>
          <w:p>
            <w:pPr>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学期</w:t>
            </w:r>
          </w:p>
        </w:tc>
        <w:tc>
          <w:tcPr>
            <w:tcW w:w="3606" w:type="dxa"/>
            <w:vAlign w:val="center"/>
          </w:tcPr>
          <w:p>
            <w:pPr>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实训项目名称</w:t>
            </w:r>
          </w:p>
        </w:tc>
        <w:tc>
          <w:tcPr>
            <w:tcW w:w="3262" w:type="dxa"/>
            <w:vAlign w:val="center"/>
          </w:tcPr>
          <w:p>
            <w:pPr>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依托课程</w:t>
            </w:r>
          </w:p>
        </w:tc>
        <w:tc>
          <w:tcPr>
            <w:tcW w:w="859" w:type="dxa"/>
            <w:vAlign w:val="center"/>
          </w:tcPr>
          <w:p>
            <w:pPr>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学时</w:t>
            </w:r>
          </w:p>
        </w:tc>
        <w:tc>
          <w:tcPr>
            <w:tcW w:w="1619" w:type="dxa"/>
            <w:vAlign w:val="center"/>
          </w:tcPr>
          <w:p>
            <w:pPr>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实训要求</w:t>
            </w:r>
          </w:p>
        </w:tc>
        <w:tc>
          <w:tcPr>
            <w:tcW w:w="1129" w:type="dxa"/>
            <w:vAlign w:val="center"/>
          </w:tcPr>
          <w:p>
            <w:pPr>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考核方式</w:t>
            </w:r>
          </w:p>
        </w:tc>
        <w:tc>
          <w:tcPr>
            <w:tcW w:w="1539" w:type="dxa"/>
            <w:vAlign w:val="center"/>
          </w:tcPr>
          <w:p>
            <w:pPr>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859" w:type="dxa"/>
            <w:vAlign w:val="center"/>
          </w:tcPr>
          <w:p>
            <w:pPr>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2</w:t>
            </w:r>
          </w:p>
        </w:tc>
        <w:tc>
          <w:tcPr>
            <w:tcW w:w="3606" w:type="dxa"/>
            <w:vAlign w:val="center"/>
          </w:tcPr>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1.金融服务礼仪规范基本要求</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2.金融行业基本规章制度。</w:t>
            </w:r>
          </w:p>
        </w:tc>
        <w:tc>
          <w:tcPr>
            <w:tcW w:w="3262"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《金融服务礼仪》</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1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实训报告</w:t>
            </w:r>
          </w:p>
        </w:tc>
        <w:tc>
          <w:tcPr>
            <w:tcW w:w="112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考查</w:t>
            </w:r>
          </w:p>
        </w:tc>
        <w:tc>
          <w:tcPr>
            <w:tcW w:w="153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基本技能实训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859" w:type="dxa"/>
            <w:vAlign w:val="center"/>
          </w:tcPr>
          <w:p>
            <w:pPr>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2</w:t>
            </w:r>
          </w:p>
        </w:tc>
        <w:tc>
          <w:tcPr>
            <w:tcW w:w="3606" w:type="dxa"/>
            <w:vAlign w:val="center"/>
          </w:tcPr>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1.现金规划实训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2.保险规划实训</w:t>
            </w:r>
          </w:p>
        </w:tc>
        <w:tc>
          <w:tcPr>
            <w:tcW w:w="3262"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《金融服务外包综合实训》</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1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实训报告</w:t>
            </w:r>
          </w:p>
        </w:tc>
        <w:tc>
          <w:tcPr>
            <w:tcW w:w="112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考查</w:t>
            </w:r>
          </w:p>
        </w:tc>
        <w:tc>
          <w:tcPr>
            <w:tcW w:w="153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岗位技能实训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3606" w:type="dxa"/>
            <w:vAlign w:val="center"/>
          </w:tcPr>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1.金融服务营销技能</w:t>
            </w:r>
          </w:p>
        </w:tc>
        <w:tc>
          <w:tcPr>
            <w:tcW w:w="3262"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《金融服务营销技能实训》</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1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实训报告</w:t>
            </w:r>
          </w:p>
        </w:tc>
        <w:tc>
          <w:tcPr>
            <w:tcW w:w="112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考查</w:t>
            </w:r>
          </w:p>
        </w:tc>
        <w:tc>
          <w:tcPr>
            <w:tcW w:w="153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3606" w:type="dxa"/>
            <w:vAlign w:val="center"/>
          </w:tcPr>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1.金融专业综合实训</w:t>
            </w:r>
          </w:p>
        </w:tc>
        <w:tc>
          <w:tcPr>
            <w:tcW w:w="3262"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《金融营销技能实训》</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1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实训报告</w:t>
            </w:r>
          </w:p>
        </w:tc>
        <w:tc>
          <w:tcPr>
            <w:tcW w:w="112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考查</w:t>
            </w:r>
          </w:p>
        </w:tc>
        <w:tc>
          <w:tcPr>
            <w:tcW w:w="153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3606" w:type="dxa"/>
            <w:vAlign w:val="center"/>
          </w:tcPr>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1.证券投资分析技能实训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2.模拟股票交易实训</w:t>
            </w:r>
          </w:p>
        </w:tc>
        <w:tc>
          <w:tcPr>
            <w:tcW w:w="3262"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w:t>
            </w:r>
            <w:r>
              <w:fldChar w:fldCharType="begin"/>
            </w:r>
            <w:r>
              <w:instrText xml:space="preserve"> HYPERLINK "https://baike.baidu.com/item/%E9%87%91%E8%9E%8D%E5%B8%82%E5%9C%BA%E8%90%A5%E9%94%80" \t "_blank" </w:instrText>
            </w:r>
            <w:r>
              <w:fldChar w:fldCharType="separate"/>
            </w:r>
            <w:r>
              <w:rPr>
                <w:rFonts w:hint="eastAsia" w:asciiTheme="minorEastAsia" w:hAnsiTheme="minorEastAsia" w:eastAsiaTheme="minorEastAsia" w:cstheme="minorEastAsia"/>
                <w:color w:val="000000" w:themeColor="text1"/>
                <w:szCs w:val="21"/>
              </w:rPr>
              <w:t>证券投资</w:t>
            </w:r>
            <w:r>
              <w:rPr>
                <w:rFonts w:hint="eastAsia" w:asciiTheme="minorEastAsia" w:hAnsiTheme="minorEastAsia" w:eastAsiaTheme="minorEastAsia" w:cstheme="minorEastAsia"/>
                <w:color w:val="000000" w:themeColor="text1"/>
                <w:szCs w:val="21"/>
              </w:rPr>
              <w:fldChar w:fldCharType="end"/>
            </w:r>
            <w:r>
              <w:rPr>
                <w:rFonts w:hint="eastAsia" w:asciiTheme="minorEastAsia" w:hAnsiTheme="minorEastAsia" w:eastAsiaTheme="minorEastAsia" w:cstheme="minorEastAsia"/>
                <w:color w:val="000000" w:themeColor="text1"/>
                <w:szCs w:val="21"/>
              </w:rPr>
              <w:t>》</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1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实训报告</w:t>
            </w:r>
          </w:p>
        </w:tc>
        <w:tc>
          <w:tcPr>
            <w:tcW w:w="112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考查</w:t>
            </w:r>
          </w:p>
        </w:tc>
        <w:tc>
          <w:tcPr>
            <w:tcW w:w="153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3606" w:type="dxa"/>
            <w:vAlign w:val="center"/>
          </w:tcPr>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1.财务决策平台规则</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2.运营实战篇</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 会计业务实战操作</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 会计典型业务处理</w:t>
            </w:r>
          </w:p>
        </w:tc>
        <w:tc>
          <w:tcPr>
            <w:tcW w:w="3262"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《财务决策实训》</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1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实训报告</w:t>
            </w:r>
          </w:p>
        </w:tc>
        <w:tc>
          <w:tcPr>
            <w:tcW w:w="112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考查</w:t>
            </w:r>
          </w:p>
        </w:tc>
        <w:tc>
          <w:tcPr>
            <w:tcW w:w="153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3606" w:type="dxa"/>
            <w:vAlign w:val="center"/>
          </w:tcPr>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1.岗前培训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2.招聘与应聘</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3.团队组建</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4.期初建账</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5.广告投放</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6.业务处理</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7.培训调研</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8.企业文化建设</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9.期末结账</w:t>
            </w:r>
          </w:p>
        </w:tc>
        <w:tc>
          <w:tcPr>
            <w:tcW w:w="3262"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《VBSE财务综合实训》</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1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实训报告</w:t>
            </w:r>
          </w:p>
        </w:tc>
        <w:tc>
          <w:tcPr>
            <w:tcW w:w="112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考查</w:t>
            </w:r>
          </w:p>
        </w:tc>
        <w:tc>
          <w:tcPr>
            <w:tcW w:w="153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3606" w:type="dxa"/>
            <w:vAlign w:val="center"/>
          </w:tcPr>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1.会计书写训练实训；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2.点钞捆钞训练实训；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3.会计凭证填写实训；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4.整理与装订实训；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5.银行业务认识实训；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6.税务业务认识实训；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7.小键盘录入。</w:t>
            </w:r>
          </w:p>
        </w:tc>
        <w:tc>
          <w:tcPr>
            <w:tcW w:w="3262"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《基础会计电子实训》</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1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实训报告</w:t>
            </w:r>
          </w:p>
        </w:tc>
        <w:tc>
          <w:tcPr>
            <w:tcW w:w="112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考查</w:t>
            </w:r>
          </w:p>
        </w:tc>
        <w:tc>
          <w:tcPr>
            <w:tcW w:w="153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 w:hRule="atLeast"/>
        </w:trPr>
        <w:tc>
          <w:tcPr>
            <w:tcW w:w="818"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3606" w:type="dxa"/>
            <w:vAlign w:val="center"/>
          </w:tcPr>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1.增值税计算与申报实训；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2.消费税计算与申报实训；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3.关税计算与申报实训；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4.企业所得税申报实训；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5.个人所得税申报实训；</w:t>
            </w:r>
          </w:p>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6.其他税种申报实训；</w:t>
            </w:r>
          </w:p>
        </w:tc>
        <w:tc>
          <w:tcPr>
            <w:tcW w:w="3262"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《虚拟报税实训》</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1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实训报告</w:t>
            </w:r>
          </w:p>
        </w:tc>
        <w:tc>
          <w:tcPr>
            <w:tcW w:w="112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考查</w:t>
            </w:r>
          </w:p>
        </w:tc>
        <w:tc>
          <w:tcPr>
            <w:tcW w:w="153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3606" w:type="dxa"/>
            <w:vAlign w:val="center"/>
          </w:tcPr>
          <w:p>
            <w:pPr>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1.会计综合业务处理。</w:t>
            </w:r>
          </w:p>
        </w:tc>
        <w:tc>
          <w:tcPr>
            <w:tcW w:w="3262" w:type="dxa"/>
            <w:vAlign w:val="center"/>
          </w:tcPr>
          <w:p>
            <w:pP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《会计手工综合实训》</w:t>
            </w:r>
          </w:p>
        </w:tc>
        <w:tc>
          <w:tcPr>
            <w:tcW w:w="85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61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实训报告</w:t>
            </w:r>
          </w:p>
        </w:tc>
        <w:tc>
          <w:tcPr>
            <w:tcW w:w="112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考查</w:t>
            </w:r>
          </w:p>
        </w:tc>
        <w:tc>
          <w:tcPr>
            <w:tcW w:w="1539" w:type="dxa"/>
            <w:vAlign w:val="center"/>
          </w:tcPr>
          <w:p>
            <w:pPr>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专业技能实训</w:t>
            </w:r>
          </w:p>
        </w:tc>
      </w:tr>
    </w:tbl>
    <w:p>
      <w:pPr>
        <w:spacing w:line="360" w:lineRule="auto"/>
        <w:ind w:firstLine="422" w:firstLineChars="200"/>
        <w:rPr>
          <w:rFonts w:cs="宋体" w:asciiTheme="minorEastAsia" w:hAnsiTheme="minorEastAsia" w:eastAsiaTheme="minorEastAsia"/>
          <w:color w:val="000000" w:themeColor="text1"/>
          <w:szCs w:val="21"/>
        </w:rPr>
      </w:pPr>
      <w:r>
        <w:rPr>
          <w:rFonts w:hint="eastAsia" w:cs="宋体" w:asciiTheme="minorEastAsia" w:hAnsiTheme="minorEastAsia" w:eastAsiaTheme="minorEastAsia"/>
          <w:b/>
          <w:bCs/>
          <w:color w:val="000000" w:themeColor="text1"/>
          <w:szCs w:val="21"/>
        </w:rPr>
        <w:t>说明</w:t>
      </w:r>
      <w:r>
        <w:rPr>
          <w:rFonts w:hint="eastAsia" w:cs="宋体" w:asciiTheme="minorEastAsia" w:hAnsiTheme="minorEastAsia" w:eastAsiaTheme="minorEastAsia"/>
          <w:color w:val="000000" w:themeColor="text1"/>
          <w:szCs w:val="21"/>
        </w:rPr>
        <w:t>：实训项目不限序号数量的规定</w:t>
      </w:r>
    </w:p>
    <w:p>
      <w:pPr>
        <w:spacing w:line="360" w:lineRule="auto"/>
        <w:ind w:right="-82" w:rightChars="-39" w:firstLine="480"/>
        <w:jc w:val="left"/>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 xml:space="preserve"> （3）顶岗实习</w:t>
      </w:r>
    </w:p>
    <w:p>
      <w:pPr>
        <w:spacing w:line="360" w:lineRule="auto"/>
        <w:ind w:right="-82" w:rightChars="-39" w:firstLine="48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顶岗实习是金融管理专业学生职业技能和职业岗位工作能力培养的重要实践教学环节,是学生的“准就业实训”顶岗实习,主要安排学生进入相关单位营销部门、管理部门等真实岗位工作环境实习，根据各单位具体部门的要求完成顶岗实习；并与实习单位一起对学生的职业操守、职业技能进行综合考核。</w:t>
      </w:r>
    </w:p>
    <w:p>
      <w:pPr>
        <w:spacing w:line="360" w:lineRule="auto"/>
        <w:ind w:right="-82" w:rightChars="-39" w:firstLine="420" w:firstLineChars="200"/>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表8、顶岗实习</w:t>
      </w:r>
      <w:r>
        <w:rPr>
          <w:rFonts w:hint="eastAsia" w:cs="仿宋" w:asciiTheme="minorEastAsia" w:hAnsiTheme="minorEastAsia" w:eastAsiaTheme="minorEastAsia"/>
          <w:color w:val="000000" w:themeColor="text1"/>
          <w:kern w:val="0"/>
          <w:szCs w:val="21"/>
        </w:rPr>
        <w:t>内容与要求一览表</w:t>
      </w:r>
    </w:p>
    <w:tbl>
      <w:tblPr>
        <w:tblStyle w:val="19"/>
        <w:tblW w:w="14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359"/>
        <w:gridCol w:w="10088"/>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748" w:type="dxa"/>
            <w:vAlign w:val="center"/>
          </w:tcPr>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color w:val="000000" w:themeColor="text1"/>
                <w:kern w:val="0"/>
                <w:szCs w:val="21"/>
              </w:rPr>
              <w:t>项目</w:t>
            </w:r>
          </w:p>
        </w:tc>
        <w:tc>
          <w:tcPr>
            <w:tcW w:w="2359" w:type="dxa"/>
            <w:vAlign w:val="center"/>
          </w:tcPr>
          <w:p>
            <w:pPr>
              <w:spacing w:line="360" w:lineRule="auto"/>
              <w:ind w:right="-82" w:rightChars="-39"/>
              <w:jc w:val="center"/>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bCs/>
                <w:color w:val="000000" w:themeColor="text1"/>
                <w:szCs w:val="21"/>
              </w:rPr>
              <w:t>顶岗实习</w:t>
            </w:r>
            <w:r>
              <w:rPr>
                <w:rFonts w:hint="eastAsia" w:cs="仿宋" w:asciiTheme="minorEastAsia" w:hAnsiTheme="minorEastAsia" w:eastAsiaTheme="minorEastAsia"/>
                <w:color w:val="000000" w:themeColor="text1"/>
                <w:kern w:val="0"/>
                <w:szCs w:val="21"/>
              </w:rPr>
              <w:t>的内容</w:t>
            </w:r>
          </w:p>
        </w:tc>
        <w:tc>
          <w:tcPr>
            <w:tcW w:w="10088" w:type="dxa"/>
            <w:vAlign w:val="center"/>
          </w:tcPr>
          <w:p>
            <w:pPr>
              <w:spacing w:line="360" w:lineRule="auto"/>
              <w:ind w:right="-82" w:rightChars="-39" w:firstLine="840" w:firstLineChars="400"/>
              <w:jc w:val="center"/>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bCs/>
                <w:color w:val="000000" w:themeColor="text1"/>
                <w:szCs w:val="21"/>
              </w:rPr>
              <w:t>顶岗实习</w:t>
            </w:r>
            <w:r>
              <w:rPr>
                <w:rFonts w:hint="eastAsia" w:cs="仿宋" w:asciiTheme="minorEastAsia" w:hAnsiTheme="minorEastAsia" w:eastAsiaTheme="minorEastAsia"/>
                <w:color w:val="000000" w:themeColor="text1"/>
                <w:kern w:val="0"/>
                <w:szCs w:val="21"/>
              </w:rPr>
              <w:t>的要求</w:t>
            </w:r>
          </w:p>
        </w:tc>
        <w:tc>
          <w:tcPr>
            <w:tcW w:w="933"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6" w:hRule="atLeast"/>
        </w:trPr>
        <w:tc>
          <w:tcPr>
            <w:tcW w:w="748"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顶岗实习</w:t>
            </w:r>
          </w:p>
          <w:p>
            <w:pPr>
              <w:widowControl/>
              <w:adjustRightInd w:val="0"/>
              <w:snapToGrid w:val="0"/>
              <w:spacing w:line="360" w:lineRule="auto"/>
              <w:jc w:val="center"/>
              <w:rPr>
                <w:rFonts w:cs="仿宋" w:asciiTheme="minorEastAsia" w:hAnsiTheme="minorEastAsia" w:eastAsiaTheme="minorEastAsia"/>
                <w:color w:val="000000" w:themeColor="text1"/>
                <w:kern w:val="0"/>
                <w:szCs w:val="21"/>
              </w:rPr>
            </w:pPr>
          </w:p>
        </w:tc>
        <w:tc>
          <w:tcPr>
            <w:tcW w:w="2359" w:type="dxa"/>
            <w:vAlign w:val="center"/>
          </w:tcPr>
          <w:p>
            <w:pPr>
              <w:spacing w:line="360" w:lineRule="auto"/>
              <w:jc w:val="center"/>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color w:val="000000" w:themeColor="text1"/>
                <w:szCs w:val="21"/>
              </w:rPr>
              <w:t>了解实习单位概况（企业文化、企业管理制度、企业生产设备，软件应用等）；了解企业工作岗位设置；了解企业工作岗位工作职责；了解工作岗位工作规程</w:t>
            </w:r>
          </w:p>
        </w:tc>
        <w:tc>
          <w:tcPr>
            <w:tcW w:w="10088" w:type="dxa"/>
            <w:vAlign w:val="center"/>
          </w:tcPr>
          <w:p>
            <w:pPr>
              <w:spacing w:line="360" w:lineRule="auto"/>
              <w:ind w:firstLine="420" w:firstLineChars="200"/>
              <w:jc w:val="left"/>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color w:val="000000" w:themeColor="text1"/>
                <w:szCs w:val="21"/>
              </w:rPr>
              <w:t>严格执行学校顶岗实习管理制度；在校企双方协商的基础上由学校制订实习计划； 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c>
          <w:tcPr>
            <w:tcW w:w="933" w:type="dxa"/>
            <w:vAlign w:val="center"/>
          </w:tcPr>
          <w:p>
            <w:pPr>
              <w:widowControl/>
              <w:adjustRightInd w:val="0"/>
              <w:snapToGrid w:val="0"/>
              <w:spacing w:line="360" w:lineRule="auto"/>
              <w:jc w:val="center"/>
              <w:rPr>
                <w:rFonts w:cs="仿宋" w:asciiTheme="minorEastAsia" w:hAnsiTheme="minorEastAsia" w:eastAsiaTheme="minorEastAsia"/>
                <w:color w:val="000000" w:themeColor="text1"/>
                <w:kern w:val="0"/>
                <w:szCs w:val="21"/>
              </w:rPr>
            </w:pPr>
          </w:p>
          <w:p>
            <w:pPr>
              <w:widowControl/>
              <w:adjustRightInd w:val="0"/>
              <w:snapToGrid w:val="0"/>
              <w:spacing w:line="360" w:lineRule="auto"/>
              <w:jc w:val="center"/>
              <w:outlineLvl w:val="2"/>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color w:val="000000" w:themeColor="text1"/>
                <w:kern w:val="0"/>
                <w:szCs w:val="21"/>
              </w:rPr>
              <w:t>20周</w:t>
            </w:r>
          </w:p>
        </w:tc>
      </w:tr>
    </w:tbl>
    <w:p>
      <w:pPr>
        <w:widowControl/>
        <w:numPr>
          <w:ilvl w:val="0"/>
          <w:numId w:val="1"/>
        </w:numPr>
        <w:shd w:val="clear" w:color="auto" w:fill="FFFFFF"/>
        <w:adjustRightInd w:val="0"/>
        <w:snapToGrid w:val="0"/>
        <w:spacing w:line="360" w:lineRule="auto"/>
        <w:jc w:val="left"/>
        <w:outlineLvl w:val="1"/>
        <w:rPr>
          <w:rFonts w:cs="仿宋" w:asciiTheme="minorEastAsia" w:hAnsiTheme="minorEastAsia" w:eastAsiaTheme="minorEastAsia"/>
          <w:color w:val="191919"/>
          <w:kern w:val="0"/>
          <w:szCs w:val="21"/>
        </w:rPr>
      </w:pPr>
      <w:bookmarkStart w:id="0" w:name="_Toc26022"/>
      <w:bookmarkStart w:id="1" w:name="_Toc25809"/>
      <w:bookmarkStart w:id="2" w:name="_Toc32470"/>
      <w:bookmarkStart w:id="3" w:name="_Toc1715"/>
      <w:r>
        <w:rPr>
          <w:rFonts w:hint="eastAsia" w:cs="仿宋" w:asciiTheme="minorEastAsia" w:hAnsiTheme="minorEastAsia" w:eastAsiaTheme="minorEastAsia"/>
          <w:color w:val="191919"/>
          <w:kern w:val="0"/>
          <w:szCs w:val="21"/>
        </w:rPr>
        <w:t>其它课程</w:t>
      </w:r>
      <w:bookmarkEnd w:id="0"/>
      <w:bookmarkEnd w:id="1"/>
    </w:p>
    <w:p>
      <w:pPr>
        <w:widowControl/>
        <w:shd w:val="clear" w:color="auto" w:fill="FFFFFF"/>
        <w:adjustRightInd w:val="0"/>
        <w:snapToGrid w:val="0"/>
        <w:spacing w:line="360" w:lineRule="auto"/>
        <w:jc w:val="center"/>
        <w:outlineLvl w:val="1"/>
        <w:rPr>
          <w:rFonts w:cs="仿宋" w:asciiTheme="minorEastAsia" w:hAnsiTheme="minorEastAsia" w:eastAsiaTheme="minorEastAsia"/>
          <w:color w:val="191919"/>
          <w:kern w:val="0"/>
          <w:szCs w:val="21"/>
        </w:rPr>
      </w:pPr>
      <w:bookmarkStart w:id="4" w:name="_Toc24131"/>
      <w:bookmarkStart w:id="5" w:name="_Toc2285"/>
      <w:r>
        <w:rPr>
          <w:rFonts w:hint="eastAsia" w:cs="仿宋" w:asciiTheme="minorEastAsia" w:hAnsiTheme="minorEastAsia" w:eastAsiaTheme="minorEastAsia"/>
          <w:color w:val="191919"/>
          <w:kern w:val="0"/>
          <w:szCs w:val="21"/>
        </w:rPr>
        <w:t>表9、其它课程说明表</w:t>
      </w:r>
      <w:bookmarkEnd w:id="4"/>
      <w:bookmarkEnd w:id="5"/>
    </w:p>
    <w:tbl>
      <w:tblPr>
        <w:tblStyle w:val="19"/>
        <w:tblW w:w="13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0864"/>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6" w:name="_Toc27397"/>
            <w:bookmarkStart w:id="7" w:name="_Toc13770"/>
            <w:r>
              <w:rPr>
                <w:rFonts w:hint="eastAsia" w:cs="仿宋" w:asciiTheme="minorEastAsia" w:hAnsiTheme="minorEastAsia" w:eastAsiaTheme="minorEastAsia"/>
                <w:color w:val="191919"/>
                <w:kern w:val="0"/>
                <w:szCs w:val="21"/>
              </w:rPr>
              <w:t>序号</w:t>
            </w:r>
            <w:bookmarkEnd w:id="6"/>
            <w:bookmarkEnd w:id="7"/>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8" w:name="_Toc12049"/>
            <w:bookmarkStart w:id="9" w:name="_Toc31138"/>
            <w:r>
              <w:rPr>
                <w:rFonts w:hint="eastAsia" w:cs="仿宋" w:asciiTheme="minorEastAsia" w:hAnsiTheme="minorEastAsia" w:eastAsiaTheme="minorEastAsia"/>
                <w:color w:val="191919"/>
                <w:kern w:val="0"/>
                <w:szCs w:val="21"/>
              </w:rPr>
              <w:t>课程内容</w:t>
            </w:r>
            <w:bookmarkEnd w:id="8"/>
            <w:bookmarkEnd w:id="9"/>
          </w:p>
        </w:tc>
        <w:tc>
          <w:tcPr>
            <w:tcW w:w="10864" w:type="dxa"/>
            <w:vAlign w:val="center"/>
          </w:tcPr>
          <w:p>
            <w:pPr>
              <w:widowControl/>
              <w:adjustRightInd w:val="0"/>
              <w:snapToGrid w:val="0"/>
              <w:spacing w:line="360" w:lineRule="auto"/>
              <w:ind w:firstLine="2310" w:firstLineChars="1100"/>
              <w:jc w:val="center"/>
              <w:outlineLvl w:val="1"/>
              <w:rPr>
                <w:rFonts w:cs="仿宋" w:asciiTheme="minorEastAsia" w:hAnsiTheme="minorEastAsia" w:eastAsiaTheme="minorEastAsia"/>
                <w:color w:val="191919"/>
                <w:kern w:val="0"/>
                <w:szCs w:val="21"/>
              </w:rPr>
            </w:pPr>
            <w:bookmarkStart w:id="10" w:name="_Toc8538"/>
            <w:bookmarkStart w:id="11" w:name="_Toc9486"/>
            <w:r>
              <w:rPr>
                <w:rFonts w:hint="eastAsia" w:cs="仿宋" w:asciiTheme="minorEastAsia" w:hAnsiTheme="minorEastAsia" w:eastAsiaTheme="minorEastAsia"/>
                <w:color w:val="191919"/>
                <w:kern w:val="0"/>
                <w:szCs w:val="21"/>
              </w:rPr>
              <w:t>学习要求</w:t>
            </w:r>
            <w:bookmarkEnd w:id="10"/>
            <w:bookmarkEnd w:id="11"/>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2" w:name="_Toc22295"/>
            <w:bookmarkStart w:id="13" w:name="_Toc31539"/>
            <w:r>
              <w:rPr>
                <w:rFonts w:hint="eastAsia" w:cs="仿宋" w:asciiTheme="minorEastAsia" w:hAnsiTheme="minorEastAsia" w:eastAsiaTheme="minorEastAsia"/>
                <w:color w:val="191919"/>
                <w:kern w:val="0"/>
                <w:szCs w:val="21"/>
              </w:rPr>
              <w:t>学分</w:t>
            </w:r>
            <w:bookmarkEnd w:id="12"/>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14"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4" w:name="_Toc23365"/>
            <w:bookmarkStart w:id="15" w:name="_Toc5364"/>
            <w:r>
              <w:rPr>
                <w:rFonts w:hint="eastAsia" w:cs="仿宋" w:asciiTheme="minorEastAsia" w:hAnsiTheme="minorEastAsia" w:eastAsiaTheme="minorEastAsia"/>
                <w:color w:val="191919"/>
                <w:kern w:val="0"/>
                <w:szCs w:val="21"/>
              </w:rPr>
              <w:t>1</w:t>
            </w:r>
            <w:bookmarkEnd w:id="14"/>
            <w:bookmarkEnd w:id="15"/>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6" w:name="_Toc15612"/>
            <w:bookmarkStart w:id="17" w:name="_Toc17105"/>
            <w:r>
              <w:rPr>
                <w:rFonts w:hint="eastAsia" w:cs="仿宋" w:asciiTheme="minorEastAsia" w:hAnsiTheme="minorEastAsia" w:eastAsiaTheme="minorEastAsia"/>
                <w:color w:val="191919"/>
                <w:kern w:val="0"/>
                <w:szCs w:val="21"/>
              </w:rPr>
              <w:t>入学教育</w:t>
            </w:r>
            <w:bookmarkEnd w:id="16"/>
            <w:bookmarkEnd w:id="17"/>
          </w:p>
        </w:tc>
        <w:tc>
          <w:tcPr>
            <w:tcW w:w="10864" w:type="dxa"/>
            <w:vAlign w:val="center"/>
          </w:tcPr>
          <w:p>
            <w:pPr>
              <w:widowControl/>
              <w:spacing w:line="360" w:lineRule="auto"/>
              <w:jc w:val="center"/>
              <w:rPr>
                <w:rFonts w:cs="仿宋" w:asciiTheme="minorEastAsia" w:hAnsiTheme="minorEastAsia" w:eastAsiaTheme="minorEastAsia"/>
                <w:kern w:val="0"/>
                <w:szCs w:val="21"/>
              </w:rPr>
            </w:pPr>
            <w:r>
              <w:rPr>
                <w:rFonts w:hint="eastAsia" w:cs="仿宋" w:asciiTheme="minorEastAsia" w:hAnsiTheme="minorEastAsia" w:eastAsiaTheme="minorEastAsia"/>
                <w:kern w:val="0"/>
                <w:szCs w:val="21"/>
              </w:rPr>
              <w:t>入学教育主要是通过专业介绍、优秀学长事迹介绍等激发学生专业学习热情，初步培养敬业精神。</w:t>
            </w:r>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18" w:name="_Toc29121"/>
            <w:bookmarkStart w:id="19" w:name="_Toc6348"/>
            <w:r>
              <w:rPr>
                <w:rFonts w:hint="eastAsia" w:cs="仿宋" w:asciiTheme="minorEastAsia" w:hAnsiTheme="minorEastAsia" w:eastAsiaTheme="minorEastAsia"/>
                <w:color w:val="191919"/>
                <w:kern w:val="0"/>
                <w:szCs w:val="21"/>
              </w:rPr>
              <w:t>1</w:t>
            </w:r>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0" w:name="_Toc6048"/>
            <w:bookmarkStart w:id="21" w:name="_Toc17750"/>
            <w:r>
              <w:rPr>
                <w:rFonts w:hint="eastAsia" w:cs="仿宋" w:asciiTheme="minorEastAsia" w:hAnsiTheme="minorEastAsia" w:eastAsiaTheme="minorEastAsia"/>
                <w:color w:val="191919"/>
                <w:kern w:val="0"/>
                <w:szCs w:val="21"/>
              </w:rPr>
              <w:t>2</w:t>
            </w:r>
            <w:bookmarkEnd w:id="20"/>
            <w:bookmarkEnd w:id="21"/>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2" w:name="_Toc9133"/>
            <w:bookmarkStart w:id="23" w:name="_Toc3255"/>
            <w:r>
              <w:rPr>
                <w:rFonts w:hint="eastAsia" w:cs="仿宋" w:asciiTheme="minorEastAsia" w:hAnsiTheme="minorEastAsia" w:eastAsiaTheme="minorEastAsia"/>
                <w:color w:val="191919"/>
                <w:kern w:val="0"/>
                <w:szCs w:val="21"/>
              </w:rPr>
              <w:t>军事训练</w:t>
            </w:r>
            <w:bookmarkEnd w:id="22"/>
            <w:bookmarkEnd w:id="23"/>
          </w:p>
        </w:tc>
        <w:tc>
          <w:tcPr>
            <w:tcW w:w="10864" w:type="dxa"/>
            <w:vAlign w:val="center"/>
          </w:tcPr>
          <w:p>
            <w:pPr>
              <w:widowControl/>
              <w:spacing w:line="360" w:lineRule="auto"/>
              <w:jc w:val="center"/>
              <w:rPr>
                <w:rFonts w:cs="仿宋" w:asciiTheme="minorEastAsia" w:hAnsiTheme="minorEastAsia" w:eastAsiaTheme="minorEastAsia"/>
                <w:kern w:val="0"/>
                <w:szCs w:val="21"/>
              </w:rPr>
            </w:pPr>
            <w:bookmarkStart w:id="24" w:name="_Toc1609"/>
            <w:bookmarkStart w:id="25" w:name="_Toc26617"/>
            <w:r>
              <w:rPr>
                <w:rFonts w:hint="eastAsia" w:cs="仿宋" w:asciiTheme="minorEastAsia" w:hAnsiTheme="minorEastAsia" w:eastAsiaTheme="minorEastAsia"/>
                <w:kern w:val="0"/>
                <w:szCs w:val="21"/>
              </w:rPr>
              <w:t>军事教学环节，采取多种军事训练方式，掌握基本的军事技能，培养学生吃苦耐劳、爱国、友善、诚实的品质</w:t>
            </w:r>
            <w:bookmarkEnd w:id="24"/>
            <w:bookmarkEnd w:id="25"/>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6" w:name="_Toc18018"/>
            <w:bookmarkStart w:id="27" w:name="_Toc32109"/>
            <w:r>
              <w:rPr>
                <w:rFonts w:hint="eastAsia" w:cs="仿宋" w:asciiTheme="minorEastAsia" w:hAnsiTheme="minorEastAsia" w:eastAsiaTheme="minorEastAsia"/>
                <w:color w:val="191919"/>
                <w:kern w:val="0"/>
                <w:szCs w:val="21"/>
              </w:rPr>
              <w:t>1</w:t>
            </w:r>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1" w:hRule="atLeast"/>
        </w:trPr>
        <w:tc>
          <w:tcPr>
            <w:tcW w:w="817"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28" w:name="_Toc27614"/>
            <w:bookmarkStart w:id="29" w:name="_Toc764"/>
            <w:r>
              <w:rPr>
                <w:rFonts w:hint="eastAsia" w:cs="仿宋" w:asciiTheme="minorEastAsia" w:hAnsiTheme="minorEastAsia" w:eastAsiaTheme="minorEastAsia"/>
                <w:color w:val="191919"/>
                <w:kern w:val="0"/>
                <w:szCs w:val="21"/>
              </w:rPr>
              <w:t>3</w:t>
            </w:r>
            <w:bookmarkEnd w:id="28"/>
            <w:bookmarkEnd w:id="29"/>
          </w:p>
        </w:tc>
        <w:tc>
          <w:tcPr>
            <w:tcW w:w="1276"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30" w:name="_Toc17793"/>
            <w:bookmarkStart w:id="31" w:name="_Toc6586"/>
            <w:r>
              <w:rPr>
                <w:rFonts w:hint="eastAsia" w:cs="仿宋" w:asciiTheme="minorEastAsia" w:hAnsiTheme="minorEastAsia" w:eastAsiaTheme="minorEastAsia"/>
                <w:color w:val="191919"/>
                <w:kern w:val="0"/>
                <w:szCs w:val="21"/>
              </w:rPr>
              <w:t>毕业教育</w:t>
            </w:r>
            <w:bookmarkEnd w:id="30"/>
            <w:bookmarkEnd w:id="31"/>
          </w:p>
        </w:tc>
        <w:tc>
          <w:tcPr>
            <w:tcW w:w="10864" w:type="dxa"/>
            <w:vAlign w:val="center"/>
          </w:tcPr>
          <w:p>
            <w:pPr>
              <w:pStyle w:val="14"/>
              <w:spacing w:before="0" w:beforeAutospacing="0" w:after="0" w:afterAutospacing="0" w:line="360" w:lineRule="auto"/>
              <w:ind w:firstLine="420"/>
              <w:rPr>
                <w:rFonts w:hint="default" w:cs="仿宋" w:asciiTheme="minorEastAsia" w:hAnsiTheme="minorEastAsia" w:eastAsiaTheme="minorEastAsia"/>
                <w:color w:val="191919"/>
                <w:sz w:val="21"/>
                <w:szCs w:val="21"/>
              </w:rPr>
            </w:pPr>
            <w:r>
              <w:rPr>
                <w:rFonts w:cs="仿宋" w:asciiTheme="minorEastAsia" w:hAnsiTheme="minorEastAsia" w:eastAsiaTheme="minorEastAsia"/>
                <w:sz w:val="21"/>
                <w:szCs w:val="21"/>
              </w:rPr>
              <w:t>毕业教育是一个不断进行的动态过程。一般我们通常把毕业前1年作为毕业教育的重点时期。主要通过开设《</w:t>
            </w:r>
            <w:r>
              <w:fldChar w:fldCharType="begin"/>
            </w:r>
            <w:r>
              <w:instrText xml:space="preserve"> HYPERLINK "https://baike.sogou.com/lemma/ShowInnerLink.htm?lemmaId=424858&amp;ss_c=ssc.citiao.link" \t "https://baike.sogou.com/_blank" </w:instrText>
            </w:r>
            <w:r>
              <w:fldChar w:fldCharType="separate"/>
            </w:r>
            <w:r>
              <w:rPr>
                <w:rFonts w:cs="仿宋" w:asciiTheme="minorEastAsia" w:hAnsiTheme="minorEastAsia" w:eastAsiaTheme="minorEastAsia"/>
                <w:sz w:val="21"/>
                <w:szCs w:val="21"/>
              </w:rPr>
              <w:t>就业指导</w:t>
            </w:r>
            <w:r>
              <w:rPr>
                <w:rFonts w:cs="仿宋" w:asciiTheme="minorEastAsia" w:hAnsiTheme="minorEastAsia" w:eastAsiaTheme="minorEastAsia"/>
                <w:sz w:val="21"/>
                <w:szCs w:val="21"/>
              </w:rPr>
              <w:fldChar w:fldCharType="end"/>
            </w:r>
            <w:r>
              <w:rPr>
                <w:rFonts w:cs="仿宋" w:asciiTheme="minorEastAsia" w:hAnsiTheme="minorEastAsia" w:eastAsiaTheme="minorEastAsia"/>
                <w:sz w:val="21"/>
                <w:szCs w:val="21"/>
              </w:rPr>
              <w:t>》等课程，全面介绍就业形势和就业政策，进行道德、纪律等方面的系统指导和教育；安排毕业生大会；请</w:t>
            </w:r>
            <w:r>
              <w:fldChar w:fldCharType="begin"/>
            </w:r>
            <w:r>
              <w:instrText xml:space="preserve"> HYPERLINK "https://baike.sogou.com/lemma/ShowInnerLink.htm?lemmaId=73763765&amp;ss_c=ssc.citiao.link" \t "https://baike.sogou.com/_blank" </w:instrText>
            </w:r>
            <w:r>
              <w:fldChar w:fldCharType="separate"/>
            </w:r>
            <w:r>
              <w:rPr>
                <w:rFonts w:cs="仿宋" w:asciiTheme="minorEastAsia" w:hAnsiTheme="minorEastAsia" w:eastAsiaTheme="minorEastAsia"/>
                <w:sz w:val="21"/>
                <w:szCs w:val="21"/>
              </w:rPr>
              <w:t>优秀毕业生</w:t>
            </w:r>
            <w:r>
              <w:rPr>
                <w:rFonts w:cs="仿宋" w:asciiTheme="minorEastAsia" w:hAnsiTheme="minorEastAsia" w:eastAsiaTheme="minorEastAsia"/>
                <w:sz w:val="21"/>
                <w:szCs w:val="21"/>
              </w:rPr>
              <w:fldChar w:fldCharType="end"/>
            </w:r>
            <w:r>
              <w:rPr>
                <w:rFonts w:cs="仿宋" w:asciiTheme="minorEastAsia" w:hAnsiTheme="minorEastAsia" w:eastAsiaTheme="minorEastAsia"/>
                <w:sz w:val="21"/>
                <w:szCs w:val="21"/>
              </w:rPr>
              <w:t>做报告、讲座，介绍他们的成才之路，对毕业生思想进行有益的启迪；请企业领导作报告，介绍企业对毕业生的基本要求；请政府有关人员或专家介绍国内外就业情况，分析有关专业知识特点，讲解相关行业概况、发展潜力和对从业人员的要求等；举行就业模拟试验、择业面试技巧、修饰仪表仪容以及填写有关表格的讲座等；对毕业生就业进行指导和咨询服务。教育毕业生进一步树立正确的人生观、价值观、</w:t>
            </w:r>
            <w:r>
              <w:fldChar w:fldCharType="begin"/>
            </w:r>
            <w:r>
              <w:instrText xml:space="preserve"> HYPERLINK "https://baike.sogou.com/lemma/ShowInnerLink.htm?lemmaId=63384556&amp;ss_c=ssc.citiao.link" \t "https://baike.sogou.com/_blank" </w:instrText>
            </w:r>
            <w:r>
              <w:fldChar w:fldCharType="separate"/>
            </w:r>
            <w:r>
              <w:rPr>
                <w:rFonts w:cs="仿宋" w:asciiTheme="minorEastAsia" w:hAnsiTheme="minorEastAsia" w:eastAsiaTheme="minorEastAsia"/>
                <w:sz w:val="21"/>
                <w:szCs w:val="21"/>
              </w:rPr>
              <w:t>择业观</w:t>
            </w:r>
            <w:r>
              <w:rPr>
                <w:rFonts w:cs="仿宋" w:asciiTheme="minorEastAsia" w:hAnsiTheme="minorEastAsia" w:eastAsiaTheme="minorEastAsia"/>
                <w:sz w:val="21"/>
                <w:szCs w:val="21"/>
              </w:rPr>
              <w:fldChar w:fldCharType="end"/>
            </w:r>
            <w:r>
              <w:rPr>
                <w:rFonts w:cs="仿宋" w:asciiTheme="minorEastAsia" w:hAnsiTheme="minorEastAsia" w:eastAsiaTheme="minorEastAsia"/>
                <w:sz w:val="21"/>
                <w:szCs w:val="21"/>
              </w:rPr>
              <w:t>，培养良好的职业道德。</w:t>
            </w:r>
          </w:p>
        </w:tc>
        <w:tc>
          <w:tcPr>
            <w:tcW w:w="734" w:type="dxa"/>
            <w:vAlign w:val="center"/>
          </w:tcPr>
          <w:p>
            <w:pPr>
              <w:widowControl/>
              <w:adjustRightInd w:val="0"/>
              <w:snapToGrid w:val="0"/>
              <w:spacing w:line="360" w:lineRule="auto"/>
              <w:jc w:val="center"/>
              <w:outlineLvl w:val="1"/>
              <w:rPr>
                <w:rFonts w:cs="仿宋" w:asciiTheme="minorEastAsia" w:hAnsiTheme="minorEastAsia" w:eastAsiaTheme="minorEastAsia"/>
                <w:color w:val="191919"/>
                <w:kern w:val="0"/>
                <w:szCs w:val="21"/>
              </w:rPr>
            </w:pPr>
            <w:bookmarkStart w:id="32" w:name="_Toc10242"/>
            <w:bookmarkStart w:id="33" w:name="_Toc13233"/>
            <w:r>
              <w:rPr>
                <w:rFonts w:hint="eastAsia" w:cs="仿宋" w:asciiTheme="minorEastAsia" w:hAnsiTheme="minorEastAsia" w:eastAsiaTheme="minorEastAsia"/>
                <w:color w:val="191919"/>
                <w:kern w:val="0"/>
                <w:szCs w:val="21"/>
              </w:rPr>
              <w:t>1</w:t>
            </w:r>
            <w:bookmarkEnd w:id="32"/>
            <w:bookmarkEnd w:id="33"/>
          </w:p>
        </w:tc>
      </w:tr>
    </w:tbl>
    <w:p>
      <w:pPr>
        <w:widowControl/>
        <w:shd w:val="clear" w:color="auto" w:fill="FFFFFF"/>
        <w:adjustRightInd w:val="0"/>
        <w:snapToGrid w:val="0"/>
        <w:spacing w:line="360" w:lineRule="auto"/>
        <w:jc w:val="left"/>
        <w:outlineLvl w:val="1"/>
        <w:rPr>
          <w:rFonts w:cs="仿宋" w:asciiTheme="minorEastAsia" w:hAnsiTheme="minorEastAsia" w:eastAsiaTheme="minorEastAsia"/>
          <w:b/>
          <w:bCs/>
          <w:color w:val="000000" w:themeColor="text1"/>
          <w:kern w:val="0"/>
          <w:szCs w:val="21"/>
        </w:rPr>
      </w:pPr>
      <w:r>
        <w:rPr>
          <w:rFonts w:hint="eastAsia" w:cs="仿宋" w:asciiTheme="minorEastAsia" w:hAnsiTheme="minorEastAsia" w:eastAsiaTheme="minorEastAsia"/>
          <w:b/>
          <w:bCs/>
          <w:color w:val="000000" w:themeColor="text1"/>
          <w:kern w:val="0"/>
          <w:szCs w:val="21"/>
        </w:rPr>
        <w:t>（三）课程体系结构</w:t>
      </w:r>
      <w:bookmarkEnd w:id="2"/>
      <w:bookmarkEnd w:id="3"/>
    </w:p>
    <w:p>
      <w:pPr>
        <w:widowControl/>
        <w:shd w:val="clear" w:color="auto" w:fill="FFFFFF"/>
        <w:adjustRightInd w:val="0"/>
        <w:snapToGrid w:val="0"/>
        <w:spacing w:line="360" w:lineRule="auto"/>
        <w:ind w:firstLine="420" w:firstLineChars="200"/>
        <w:jc w:val="left"/>
        <w:outlineLvl w:val="1"/>
        <w:rPr>
          <w:rFonts w:cs="仿宋" w:asciiTheme="minorEastAsia" w:hAnsiTheme="minorEastAsia" w:eastAsiaTheme="minorEastAsia"/>
          <w:color w:val="000000" w:themeColor="text1"/>
          <w:szCs w:val="21"/>
          <w:shd w:val="clear" w:color="auto" w:fill="FFFFFF"/>
        </w:rPr>
      </w:pPr>
      <w:bookmarkStart w:id="34" w:name="_Toc14702"/>
      <w:bookmarkStart w:id="35" w:name="_Toc1402"/>
      <w:r>
        <w:rPr>
          <w:rFonts w:hint="eastAsia" w:cs="仿宋" w:asciiTheme="minorEastAsia" w:hAnsiTheme="minorEastAsia" w:eastAsiaTheme="minorEastAsia"/>
          <w:color w:val="000000" w:themeColor="text1"/>
          <w:szCs w:val="21"/>
          <w:shd w:val="clear" w:color="auto" w:fill="FFFFFF"/>
        </w:rPr>
        <w:t>课程体系是指同本专业不同课程门类按照门类顺序排列，是教学内容和进程的总和，课程门类排列顺序决定了学生通过学习将获得怎样的知识结构。课程体系是育人活动的指导思想，是培养目标的具体化和依托。</w:t>
      </w:r>
      <w:bookmarkEnd w:id="34"/>
      <w:bookmarkEnd w:id="35"/>
    </w:p>
    <w:p>
      <w:pPr>
        <w:spacing w:line="360" w:lineRule="auto"/>
        <w:ind w:firstLine="420" w:firstLineChars="200"/>
        <w:jc w:val="center"/>
        <w:rPr>
          <w:rFonts w:asciiTheme="minorEastAsia" w:hAnsiTheme="minorEastAsia" w:eastAsiaTheme="minorEastAsia"/>
          <w:b/>
          <w:szCs w:val="21"/>
        </w:rPr>
      </w:pPr>
      <w:r>
        <w:rPr>
          <w:rFonts w:hint="eastAsia" w:cs="仿宋" w:asciiTheme="minorEastAsia" w:hAnsiTheme="minorEastAsia" w:eastAsiaTheme="minorEastAsia"/>
          <w:color w:val="191919"/>
          <w:kern w:val="0"/>
          <w:szCs w:val="21"/>
        </w:rPr>
        <w:t>表10、</w:t>
      </w:r>
      <w:r>
        <w:rPr>
          <w:rFonts w:hint="eastAsia" w:asciiTheme="minorEastAsia" w:hAnsiTheme="minorEastAsia" w:eastAsiaTheme="minorEastAsia"/>
          <w:b/>
          <w:szCs w:val="21"/>
        </w:rPr>
        <w:t>课程结构</w:t>
      </w:r>
    </w:p>
    <w:tbl>
      <w:tblPr>
        <w:tblStyle w:val="18"/>
        <w:tblW w:w="1356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3"/>
        <w:gridCol w:w="2344"/>
        <w:gridCol w:w="6341"/>
        <w:gridCol w:w="1030"/>
        <w:gridCol w:w="1134"/>
        <w:gridCol w:w="1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jc w:val="center"/>
        </w:trPr>
        <w:tc>
          <w:tcPr>
            <w:tcW w:w="3487" w:type="dxa"/>
            <w:gridSpan w:val="2"/>
            <w:vAlign w:val="center"/>
          </w:tcPr>
          <w:p>
            <w:pPr>
              <w:spacing w:line="360" w:lineRule="auto"/>
              <w:ind w:firstLine="527" w:firstLineChars="250"/>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课程类别</w:t>
            </w:r>
          </w:p>
        </w:tc>
        <w:tc>
          <w:tcPr>
            <w:tcW w:w="6341"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课程名称</w:t>
            </w:r>
          </w:p>
        </w:tc>
        <w:tc>
          <w:tcPr>
            <w:tcW w:w="1030"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学分</w:t>
            </w:r>
          </w:p>
        </w:tc>
        <w:tc>
          <w:tcPr>
            <w:tcW w:w="113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小计学分</w:t>
            </w:r>
          </w:p>
        </w:tc>
        <w:tc>
          <w:tcPr>
            <w:tcW w:w="156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学分占比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4" w:hRule="atLeast"/>
          <w:jc w:val="center"/>
        </w:trPr>
        <w:tc>
          <w:tcPr>
            <w:tcW w:w="1143" w:type="dxa"/>
            <w:vMerge w:val="restart"/>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公共基础必修课程（含公共基础限选课程）</w:t>
            </w: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道德素养</w:t>
            </w: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毛中、思修、形势与政策；马克思主义理论类、党史国史</w:t>
            </w:r>
          </w:p>
        </w:tc>
        <w:tc>
          <w:tcPr>
            <w:tcW w:w="1030"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w:t>
            </w:r>
          </w:p>
        </w:tc>
        <w:tc>
          <w:tcPr>
            <w:tcW w:w="1134"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47</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1" w:hRule="atLeast"/>
          <w:jc w:val="center"/>
        </w:trPr>
        <w:tc>
          <w:tcPr>
            <w:tcW w:w="114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身心素养</w:t>
            </w:r>
          </w:p>
        </w:tc>
        <w:tc>
          <w:tcPr>
            <w:tcW w:w="6341" w:type="dxa"/>
            <w:vAlign w:val="center"/>
          </w:tcPr>
          <w:p>
            <w:pPr>
              <w:widowControl/>
              <w:adjustRightInd w:val="0"/>
              <w:snapToGrid w:val="0"/>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体育（体质健康测试）、心理健康教育、军事理论和军事技能；美育、中华优秀传统文化</w:t>
            </w:r>
          </w:p>
        </w:tc>
        <w:tc>
          <w:tcPr>
            <w:tcW w:w="1030"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4" w:hRule="atLeast"/>
          <w:jc w:val="center"/>
        </w:trPr>
        <w:tc>
          <w:tcPr>
            <w:tcW w:w="114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职业素养</w:t>
            </w: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职业发展与就业教育、创新创业教育</w:t>
            </w:r>
          </w:p>
        </w:tc>
        <w:tc>
          <w:tcPr>
            <w:tcW w:w="1030"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234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人文素养</w:t>
            </w:r>
          </w:p>
        </w:tc>
        <w:tc>
          <w:tcPr>
            <w:tcW w:w="6341"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大学英语、数学、语文、计算机公共基础</w:t>
            </w:r>
          </w:p>
        </w:tc>
        <w:tc>
          <w:tcPr>
            <w:tcW w:w="1030" w:type="dxa"/>
            <w:tcBorders>
              <w:bottom w:val="single" w:color="auto" w:sz="4" w:space="0"/>
            </w:tcBorders>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143" w:type="dxa"/>
            <w:vMerge w:val="restart"/>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专业必修课程</w:t>
            </w:r>
          </w:p>
        </w:tc>
        <w:tc>
          <w:tcPr>
            <w:tcW w:w="2344" w:type="dxa"/>
            <w:vMerge w:val="restart"/>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专业基础</w:t>
            </w: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金融基础</w:t>
            </w:r>
          </w:p>
        </w:tc>
        <w:tc>
          <w:tcPr>
            <w:tcW w:w="1030"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134"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37</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证券投资</w:t>
            </w:r>
          </w:p>
        </w:tc>
        <w:tc>
          <w:tcPr>
            <w:tcW w:w="1030"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会计职业基础</w:t>
            </w:r>
          </w:p>
        </w:tc>
        <w:tc>
          <w:tcPr>
            <w:tcW w:w="1030" w:type="dxa"/>
            <w:tcBorders>
              <w:bottom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经济法基础</w:t>
            </w:r>
          </w:p>
        </w:tc>
        <w:tc>
          <w:tcPr>
            <w:tcW w:w="1030" w:type="dxa"/>
            <w:tcBorders>
              <w:bottom w:val="single" w:color="auto" w:sz="4" w:space="0"/>
            </w:tcBorders>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Merge w:val="restart"/>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专业核心</w:t>
            </w: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金融服务营销</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互联网金融概述</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金融服务外包理论与实务</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服务外包项目管理</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6341"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保险客户服务与管理</w:t>
            </w:r>
          </w:p>
        </w:tc>
        <w:tc>
          <w:tcPr>
            <w:tcW w:w="1030" w:type="dxa"/>
            <w:tcBorders>
              <w:top w:val="single" w:color="auto" w:sz="4" w:space="0"/>
            </w:tcBorders>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6341" w:type="dxa"/>
            <w:vAlign w:val="center"/>
          </w:tcPr>
          <w:p>
            <w:pPr>
              <w:spacing w:line="360" w:lineRule="auto"/>
              <w:ind w:firstLine="420" w:firstLineChars="200"/>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顶岗实习（含实习报告）</w:t>
            </w:r>
          </w:p>
        </w:tc>
        <w:tc>
          <w:tcPr>
            <w:tcW w:w="1030"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restart"/>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专业选修课程 （含限选课)</w:t>
            </w: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综合类</w:t>
            </w: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见专选课列表</w:t>
            </w:r>
          </w:p>
        </w:tc>
        <w:tc>
          <w:tcPr>
            <w:tcW w:w="1030" w:type="dxa"/>
            <w:vAlign w:val="bottom"/>
          </w:tcPr>
          <w:p>
            <w:pPr>
              <w:spacing w:line="360" w:lineRule="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12</w:t>
            </w:r>
          </w:p>
        </w:tc>
        <w:tc>
          <w:tcPr>
            <w:tcW w:w="1134" w:type="dxa"/>
            <w:vMerge w:val="restart"/>
            <w:vAlign w:val="center"/>
          </w:tcPr>
          <w:p>
            <w:pPr>
              <w:spacing w:line="360" w:lineRule="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44</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8"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实训类</w:t>
            </w: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见专选课列表</w:t>
            </w:r>
          </w:p>
        </w:tc>
        <w:tc>
          <w:tcPr>
            <w:tcW w:w="1030" w:type="dxa"/>
            <w:vAlign w:val="bottom"/>
          </w:tcPr>
          <w:p>
            <w:pPr>
              <w:spacing w:line="360" w:lineRule="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36</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jc w:val="center"/>
        </w:trPr>
        <w:tc>
          <w:tcPr>
            <w:tcW w:w="1143"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活动类</w:t>
            </w:r>
          </w:p>
        </w:tc>
        <w:tc>
          <w:tcPr>
            <w:tcW w:w="6341"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与专业相关的活动课如工作坊、工作室、兴趣小组、讲座、协会</w:t>
            </w:r>
          </w:p>
        </w:tc>
        <w:tc>
          <w:tcPr>
            <w:tcW w:w="1030" w:type="dxa"/>
            <w:vAlign w:val="bottom"/>
          </w:tcPr>
          <w:p>
            <w:pPr>
              <w:spacing w:line="360" w:lineRule="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8</w:t>
            </w:r>
          </w:p>
        </w:tc>
        <w:tc>
          <w:tcPr>
            <w:tcW w:w="1134"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568"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restart"/>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公共</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选修</w:t>
            </w: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人文社科类</w:t>
            </w:r>
          </w:p>
        </w:tc>
        <w:tc>
          <w:tcPr>
            <w:tcW w:w="6341" w:type="dxa"/>
            <w:vAlign w:val="bottom"/>
          </w:tcPr>
          <w:p>
            <w:pPr>
              <w:spacing w:line="360" w:lineRule="auto"/>
              <w:ind w:right="-82" w:rightChars="-39"/>
              <w:jc w:val="center"/>
              <w:rPr>
                <w:rFonts w:asciiTheme="minorEastAsia" w:hAnsiTheme="minorEastAsia" w:eastAsiaTheme="minorEastAsia" w:cstheme="minorEastAsia"/>
                <w:color w:val="000000" w:themeColor="text1"/>
                <w:szCs w:val="21"/>
              </w:rPr>
            </w:pPr>
            <w:r>
              <w:rPr>
                <w:rFonts w:asciiTheme="minorEastAsia" w:hAnsiTheme="minorEastAsia" w:eastAsiaTheme="minorEastAsia" w:cstheme="minorEastAsia"/>
                <w:color w:val="000000" w:themeColor="text1"/>
                <w:szCs w:val="21"/>
              </w:rPr>
              <w:t>表</w:t>
            </w:r>
            <w:r>
              <w:rPr>
                <w:rFonts w:hint="eastAsia" w:asciiTheme="minorEastAsia" w:hAnsiTheme="minorEastAsia" w:eastAsiaTheme="minorEastAsia" w:cstheme="minorEastAsia"/>
                <w:color w:val="000000" w:themeColor="text1"/>
                <w:szCs w:val="21"/>
              </w:rPr>
              <w:t>3公共选修课（含网络课程）一览表</w:t>
            </w:r>
          </w:p>
        </w:tc>
        <w:tc>
          <w:tcPr>
            <w:tcW w:w="1030" w:type="dxa"/>
            <w:vMerge w:val="restart"/>
            <w:vAlign w:val="center"/>
          </w:tcPr>
          <w:p>
            <w:pPr>
              <w:spacing w:line="360" w:lineRule="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16</w:t>
            </w:r>
          </w:p>
        </w:tc>
        <w:tc>
          <w:tcPr>
            <w:tcW w:w="1134" w:type="dxa"/>
            <w:vMerge w:val="restart"/>
            <w:vAlign w:val="center"/>
          </w:tcPr>
          <w:p>
            <w:pPr>
              <w:spacing w:line="360" w:lineRule="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16</w:t>
            </w:r>
          </w:p>
        </w:tc>
        <w:tc>
          <w:tcPr>
            <w:tcW w:w="1568" w:type="dxa"/>
            <w:vMerge w:val="restart"/>
            <w:vAlign w:val="center"/>
          </w:tcPr>
          <w:p>
            <w:pPr>
              <w:spacing w:line="360" w:lineRule="auto"/>
              <w:ind w:firstLine="525" w:firstLineChars="25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rPr>
                <w:rFonts w:asciiTheme="minorEastAsia" w:hAnsiTheme="minorEastAsia" w:eastAsiaTheme="minorEastAsia" w:cstheme="minorEastAsia"/>
                <w:color w:val="000000" w:themeColor="text1"/>
                <w:szCs w:val="21"/>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自然科学类</w:t>
            </w:r>
          </w:p>
        </w:tc>
        <w:tc>
          <w:tcPr>
            <w:tcW w:w="6341" w:type="dxa"/>
            <w:vAlign w:val="bottom"/>
          </w:tcPr>
          <w:p>
            <w:pPr>
              <w:spacing w:line="360" w:lineRule="auto"/>
              <w:ind w:right="-82" w:rightChars="-39"/>
              <w:jc w:val="center"/>
              <w:rPr>
                <w:rFonts w:asciiTheme="minorEastAsia" w:hAnsiTheme="minorEastAsia" w:eastAsiaTheme="minorEastAsia" w:cstheme="minorEastAsia"/>
                <w:color w:val="000000" w:themeColor="text1"/>
                <w:szCs w:val="21"/>
              </w:rPr>
            </w:pPr>
            <w:r>
              <w:rPr>
                <w:rFonts w:asciiTheme="minorEastAsia" w:hAnsiTheme="minorEastAsia" w:eastAsiaTheme="minorEastAsia" w:cstheme="minorEastAsia"/>
                <w:color w:val="000000" w:themeColor="text1"/>
                <w:szCs w:val="21"/>
              </w:rPr>
              <w:t>表</w:t>
            </w:r>
            <w:r>
              <w:rPr>
                <w:rFonts w:hint="eastAsia" w:asciiTheme="minorEastAsia" w:hAnsiTheme="minorEastAsia" w:eastAsiaTheme="minorEastAsia" w:cstheme="minorEastAsia"/>
                <w:color w:val="000000" w:themeColor="text1"/>
                <w:szCs w:val="21"/>
              </w:rPr>
              <w:t>3公共选修课（含网络课程）一览表</w:t>
            </w:r>
          </w:p>
        </w:tc>
        <w:tc>
          <w:tcPr>
            <w:tcW w:w="1030" w:type="dxa"/>
            <w:vMerge w:val="continue"/>
            <w:vAlign w:val="center"/>
          </w:tcPr>
          <w:p>
            <w:pPr>
              <w:spacing w:line="360" w:lineRule="auto"/>
              <w:rPr>
                <w:rFonts w:asciiTheme="minorEastAsia" w:hAnsiTheme="minorEastAsia" w:eastAsiaTheme="minorEastAsia" w:cstheme="minorEastAsia"/>
                <w:color w:val="000000" w:themeColor="text1"/>
                <w:szCs w:val="21"/>
              </w:rPr>
            </w:pPr>
          </w:p>
        </w:tc>
        <w:tc>
          <w:tcPr>
            <w:tcW w:w="1134" w:type="dxa"/>
            <w:vMerge w:val="continue"/>
          </w:tcPr>
          <w:p>
            <w:pPr>
              <w:spacing w:line="360" w:lineRule="auto"/>
              <w:rPr>
                <w:rFonts w:asciiTheme="minorEastAsia" w:hAnsiTheme="minorEastAsia" w:eastAsiaTheme="minorEastAsia" w:cstheme="minorEastAsia"/>
                <w:color w:val="000000" w:themeColor="text1"/>
                <w:szCs w:val="21"/>
              </w:rPr>
            </w:pPr>
          </w:p>
        </w:tc>
        <w:tc>
          <w:tcPr>
            <w:tcW w:w="1568" w:type="dxa"/>
            <w:vMerge w:val="continue"/>
          </w:tcPr>
          <w:p>
            <w:pPr>
              <w:spacing w:line="360" w:lineRule="auto"/>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rPr>
                <w:rFonts w:asciiTheme="minorEastAsia" w:hAnsiTheme="minorEastAsia" w:eastAsiaTheme="minorEastAsia" w:cstheme="minorEastAsia"/>
                <w:color w:val="000000" w:themeColor="text1"/>
                <w:szCs w:val="21"/>
              </w:rPr>
            </w:pPr>
          </w:p>
        </w:tc>
        <w:tc>
          <w:tcPr>
            <w:tcW w:w="2344" w:type="dxa"/>
            <w:vAlign w:val="bottom"/>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活动类</w:t>
            </w:r>
          </w:p>
        </w:tc>
        <w:tc>
          <w:tcPr>
            <w:tcW w:w="6341" w:type="dxa"/>
            <w:vAlign w:val="bottom"/>
          </w:tcPr>
          <w:p>
            <w:pPr>
              <w:spacing w:line="360" w:lineRule="auto"/>
              <w:ind w:right="-82" w:rightChars="-39"/>
              <w:jc w:val="center"/>
              <w:rPr>
                <w:rFonts w:asciiTheme="minorEastAsia" w:hAnsiTheme="minorEastAsia" w:eastAsiaTheme="minorEastAsia" w:cstheme="minorEastAsia"/>
                <w:color w:val="000000" w:themeColor="text1"/>
                <w:szCs w:val="21"/>
              </w:rPr>
            </w:pPr>
            <w:r>
              <w:rPr>
                <w:rFonts w:asciiTheme="minorEastAsia" w:hAnsiTheme="minorEastAsia" w:eastAsiaTheme="minorEastAsia" w:cstheme="minorEastAsia"/>
                <w:color w:val="000000" w:themeColor="text1"/>
                <w:szCs w:val="21"/>
              </w:rPr>
              <w:t>表</w:t>
            </w:r>
            <w:r>
              <w:rPr>
                <w:rFonts w:hint="eastAsia" w:asciiTheme="minorEastAsia" w:hAnsiTheme="minorEastAsia" w:eastAsiaTheme="minorEastAsia" w:cstheme="minorEastAsia"/>
                <w:color w:val="000000" w:themeColor="text1"/>
                <w:szCs w:val="21"/>
              </w:rPr>
              <w:t>3公共选修课（含网络课程）一览表</w:t>
            </w:r>
          </w:p>
        </w:tc>
        <w:tc>
          <w:tcPr>
            <w:tcW w:w="1030" w:type="dxa"/>
            <w:vMerge w:val="continue"/>
            <w:vAlign w:val="center"/>
          </w:tcPr>
          <w:p>
            <w:pPr>
              <w:spacing w:line="360" w:lineRule="auto"/>
              <w:rPr>
                <w:rFonts w:asciiTheme="minorEastAsia" w:hAnsiTheme="minorEastAsia" w:eastAsiaTheme="minorEastAsia" w:cstheme="minorEastAsia"/>
                <w:color w:val="000000" w:themeColor="text1"/>
                <w:szCs w:val="21"/>
              </w:rPr>
            </w:pPr>
          </w:p>
        </w:tc>
        <w:tc>
          <w:tcPr>
            <w:tcW w:w="1134" w:type="dxa"/>
            <w:vMerge w:val="continue"/>
          </w:tcPr>
          <w:p>
            <w:pPr>
              <w:spacing w:line="360" w:lineRule="auto"/>
              <w:rPr>
                <w:rFonts w:asciiTheme="minorEastAsia" w:hAnsiTheme="minorEastAsia" w:eastAsiaTheme="minorEastAsia" w:cstheme="minorEastAsia"/>
                <w:color w:val="000000" w:themeColor="text1"/>
                <w:szCs w:val="21"/>
              </w:rPr>
            </w:pPr>
          </w:p>
        </w:tc>
        <w:tc>
          <w:tcPr>
            <w:tcW w:w="1568" w:type="dxa"/>
            <w:vMerge w:val="continue"/>
          </w:tcPr>
          <w:p>
            <w:pPr>
              <w:spacing w:line="360" w:lineRule="auto"/>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4" w:hRule="atLeast"/>
          <w:jc w:val="center"/>
        </w:trPr>
        <w:tc>
          <w:tcPr>
            <w:tcW w:w="1143" w:type="dxa"/>
            <w:vMerge w:val="continue"/>
          </w:tcPr>
          <w:p>
            <w:pPr>
              <w:spacing w:line="360" w:lineRule="auto"/>
              <w:rPr>
                <w:rFonts w:asciiTheme="minorEastAsia" w:hAnsiTheme="minorEastAsia" w:eastAsiaTheme="minorEastAsia" w:cstheme="minorEastAsia"/>
                <w:color w:val="000000" w:themeColor="text1"/>
                <w:szCs w:val="21"/>
              </w:rPr>
            </w:pPr>
          </w:p>
        </w:tc>
        <w:tc>
          <w:tcPr>
            <w:tcW w:w="2344" w:type="dxa"/>
            <w:vAlign w:val="bottom"/>
          </w:tcPr>
          <w:p>
            <w:pPr>
              <w:spacing w:line="360" w:lineRule="auto"/>
              <w:jc w:val="left"/>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综合类（含网络课50%）</w:t>
            </w:r>
          </w:p>
        </w:tc>
        <w:tc>
          <w:tcPr>
            <w:tcW w:w="6341" w:type="dxa"/>
            <w:vAlign w:val="bottom"/>
          </w:tcPr>
          <w:p>
            <w:pPr>
              <w:spacing w:line="360" w:lineRule="auto"/>
              <w:ind w:right="-82" w:rightChars="-39" w:firstLine="1260" w:firstLineChars="600"/>
              <w:rPr>
                <w:rFonts w:asciiTheme="minorEastAsia" w:hAnsiTheme="minorEastAsia" w:eastAsiaTheme="minorEastAsia" w:cstheme="minorEastAsia"/>
                <w:color w:val="000000" w:themeColor="text1"/>
                <w:szCs w:val="21"/>
              </w:rPr>
            </w:pPr>
            <w:r>
              <w:rPr>
                <w:rFonts w:asciiTheme="minorEastAsia" w:hAnsiTheme="minorEastAsia" w:eastAsiaTheme="minorEastAsia" w:cstheme="minorEastAsia"/>
                <w:color w:val="000000" w:themeColor="text1"/>
                <w:szCs w:val="21"/>
              </w:rPr>
              <w:t>表</w:t>
            </w:r>
            <w:r>
              <w:rPr>
                <w:rFonts w:hint="eastAsia" w:asciiTheme="minorEastAsia" w:hAnsiTheme="minorEastAsia" w:eastAsiaTheme="minorEastAsia" w:cstheme="minorEastAsia"/>
                <w:color w:val="000000" w:themeColor="text1"/>
                <w:szCs w:val="21"/>
              </w:rPr>
              <w:t>3公共选修课（含网络课程）一览表</w:t>
            </w:r>
          </w:p>
        </w:tc>
        <w:tc>
          <w:tcPr>
            <w:tcW w:w="1030" w:type="dxa"/>
            <w:vMerge w:val="continue"/>
            <w:vAlign w:val="center"/>
          </w:tcPr>
          <w:p>
            <w:pPr>
              <w:spacing w:line="360" w:lineRule="auto"/>
              <w:rPr>
                <w:rFonts w:asciiTheme="minorEastAsia" w:hAnsiTheme="minorEastAsia" w:eastAsiaTheme="minorEastAsia" w:cstheme="minorEastAsia"/>
                <w:color w:val="000000" w:themeColor="text1"/>
                <w:szCs w:val="21"/>
              </w:rPr>
            </w:pPr>
          </w:p>
        </w:tc>
        <w:tc>
          <w:tcPr>
            <w:tcW w:w="1134" w:type="dxa"/>
            <w:vMerge w:val="continue"/>
          </w:tcPr>
          <w:p>
            <w:pPr>
              <w:spacing w:line="360" w:lineRule="auto"/>
              <w:rPr>
                <w:rFonts w:asciiTheme="minorEastAsia" w:hAnsiTheme="minorEastAsia" w:eastAsiaTheme="minorEastAsia" w:cstheme="minorEastAsia"/>
                <w:color w:val="000000" w:themeColor="text1"/>
                <w:szCs w:val="21"/>
              </w:rPr>
            </w:pPr>
          </w:p>
        </w:tc>
        <w:tc>
          <w:tcPr>
            <w:tcW w:w="1568" w:type="dxa"/>
            <w:vMerge w:val="continue"/>
          </w:tcPr>
          <w:p>
            <w:pPr>
              <w:spacing w:line="360" w:lineRule="auto"/>
              <w:rPr>
                <w:rFonts w:asciiTheme="minorEastAsia" w:hAnsiTheme="minorEastAsia" w:eastAsiaTheme="minorEastAsia" w:cstheme="minorEastAsia"/>
                <w:color w:val="000000" w:themeColor="text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3" w:hRule="atLeast"/>
          <w:jc w:val="center"/>
        </w:trPr>
        <w:tc>
          <w:tcPr>
            <w:tcW w:w="9828" w:type="dxa"/>
            <w:gridSpan w:val="3"/>
          </w:tcPr>
          <w:p>
            <w:pPr>
              <w:spacing w:line="360" w:lineRule="auto"/>
              <w:ind w:firstLine="5060" w:firstLineChars="2400"/>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合计</w:t>
            </w:r>
          </w:p>
        </w:tc>
        <w:tc>
          <w:tcPr>
            <w:tcW w:w="1030" w:type="dxa"/>
          </w:tcPr>
          <w:p>
            <w:pPr>
              <w:spacing w:line="360" w:lineRule="auto"/>
              <w:ind w:firstLine="5060" w:firstLineChars="2400"/>
              <w:rPr>
                <w:rFonts w:asciiTheme="minorEastAsia" w:hAnsiTheme="minorEastAsia" w:eastAsiaTheme="minorEastAsia" w:cstheme="minorEastAsia"/>
                <w:b/>
                <w:bCs/>
                <w:color w:val="000000" w:themeColor="text1"/>
                <w:szCs w:val="21"/>
              </w:rPr>
            </w:pPr>
          </w:p>
        </w:tc>
        <w:tc>
          <w:tcPr>
            <w:tcW w:w="1134" w:type="dxa"/>
          </w:tcPr>
          <w:p>
            <w:pPr>
              <w:spacing w:line="360" w:lineRule="auto"/>
              <w:ind w:firstLine="316" w:firstLineChars="150"/>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144</w:t>
            </w:r>
          </w:p>
        </w:tc>
        <w:tc>
          <w:tcPr>
            <w:tcW w:w="1568" w:type="dxa"/>
          </w:tcPr>
          <w:p>
            <w:pPr>
              <w:spacing w:line="360" w:lineRule="auto"/>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100%</w:t>
            </w:r>
          </w:p>
        </w:tc>
      </w:tr>
    </w:tbl>
    <w:p>
      <w:pPr>
        <w:spacing w:line="360" w:lineRule="auto"/>
        <w:ind w:firstLine="413" w:firstLineChars="196"/>
        <w:rPr>
          <w:rFonts w:asciiTheme="minorEastAsia" w:hAnsiTheme="minorEastAsia" w:eastAsiaTheme="minorEastAsia"/>
          <w:b/>
          <w:color w:val="000000" w:themeColor="text1"/>
          <w:szCs w:val="21"/>
        </w:rPr>
      </w:pPr>
      <w:bookmarkStart w:id="36" w:name="_Toc3302"/>
      <w:bookmarkStart w:id="37" w:name="_Toc28383"/>
      <w:r>
        <w:rPr>
          <w:rFonts w:hint="eastAsia" w:asciiTheme="minorEastAsia" w:hAnsiTheme="minorEastAsia" w:eastAsiaTheme="minorEastAsia"/>
          <w:b/>
          <w:color w:val="000000" w:themeColor="text1"/>
          <w:szCs w:val="21"/>
        </w:rPr>
        <w:t>七、教学进程总体安排</w:t>
      </w:r>
      <w:bookmarkEnd w:id="36"/>
      <w:bookmarkEnd w:id="37"/>
    </w:p>
    <w:p>
      <w:pPr>
        <w:adjustRightInd w:val="0"/>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教学进程总体安排，是便于专业人才培养方案的实施，学校采用的在时间、空间、资源利用等维度上对设置的课程及递进关系给予的科学合理安排。学时安排，依据《指导意见》和《专业教学标准》的要求确定。</w:t>
      </w:r>
    </w:p>
    <w:p>
      <w:pPr>
        <w:spacing w:line="360" w:lineRule="auto"/>
        <w:ind w:right="-82" w:rightChars="-39" w:firstLine="413" w:firstLineChars="196"/>
        <w:outlineLvl w:val="1"/>
        <w:rPr>
          <w:rFonts w:cs="仿宋" w:asciiTheme="minorEastAsia" w:hAnsiTheme="minorEastAsia" w:eastAsiaTheme="minorEastAsia"/>
          <w:b/>
          <w:bCs/>
          <w:color w:val="000000" w:themeColor="text1"/>
          <w:szCs w:val="21"/>
        </w:rPr>
      </w:pPr>
      <w:bookmarkStart w:id="38" w:name="_Toc27625"/>
      <w:bookmarkStart w:id="39" w:name="_Toc22283"/>
      <w:r>
        <w:rPr>
          <w:rFonts w:hint="eastAsia" w:cs="仿宋" w:asciiTheme="minorEastAsia" w:hAnsiTheme="minorEastAsia" w:eastAsiaTheme="minorEastAsia"/>
          <w:b/>
          <w:bCs/>
          <w:color w:val="000000" w:themeColor="text1"/>
          <w:szCs w:val="21"/>
        </w:rPr>
        <w:t>（一）金融管理专业教学环节分配表</w:t>
      </w:r>
      <w:bookmarkEnd w:id="38"/>
      <w:bookmarkEnd w:id="39"/>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表11、专业教学环节一览表</w:t>
      </w:r>
    </w:p>
    <w:tbl>
      <w:tblPr>
        <w:tblStyle w:val="18"/>
        <w:tblpPr w:leftFromText="180" w:rightFromText="180" w:vertAnchor="text" w:horzAnchor="margin" w:tblpY="368"/>
        <w:tblW w:w="13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78"/>
        <w:gridCol w:w="999"/>
        <w:gridCol w:w="1256"/>
        <w:gridCol w:w="999"/>
        <w:gridCol w:w="757"/>
        <w:gridCol w:w="941"/>
        <w:gridCol w:w="953"/>
        <w:gridCol w:w="877"/>
        <w:gridCol w:w="877"/>
        <w:gridCol w:w="1182"/>
        <w:gridCol w:w="1831"/>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77" w:hRule="atLeast"/>
        </w:trPr>
        <w:tc>
          <w:tcPr>
            <w:tcW w:w="1778" w:type="dxa"/>
          </w:tcPr>
          <w:p>
            <w:pPr>
              <w:pStyle w:val="34"/>
              <w:spacing w:line="360" w:lineRule="auto"/>
              <w:ind w:right="-82" w:rightChars="-39"/>
              <w:jc w:val="left"/>
              <w:rPr>
                <w:rFonts w:cs="仿宋" w:asciiTheme="minorEastAsia" w:hAnsiTheme="minorEastAsia" w:eastAsiaTheme="minorEastAsia"/>
                <w:b w:val="0"/>
                <w:bCs w:val="0"/>
                <w:color w:val="000000" w:themeColor="text1"/>
              </w:rPr>
            </w:pPr>
            <w:r>
              <w:rPr>
                <w:rFonts w:cs="仿宋" w:asciiTheme="minorEastAsia" w:hAnsiTheme="minorEastAsia" w:eastAsiaTheme="minorEastAsia"/>
                <w:color w:val="000000" w:themeColor="text1"/>
              </w:rPr>
              <w:pict>
                <v:line id="_x0000_s2052" o:spid="_x0000_s2052" o:spt="20" style="position:absolute;left:0pt;margin-left:0.25pt;margin-top:0.55pt;height:45.95pt;width:82.25pt;z-index:251660288;mso-width-relative:page;mso-height-relative:page;" coordsize="21600,21600" o:gfxdata="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7tgrj0AAAAAUBAAAPAAAAAAAAAAEAIAAAACIAAABkcnMv&#10;ZG93bnJldi54bWxQSwECFAAUAAAACACHTuJAjkVePtIBAABwAwAADgAAAAAAAAABACAAAAAfAQAA&#10;ZHJzL2Uyb0RvYy54bWxQSwUGAAAAAAYABgBZAQAAYwUAAAAA&#10;">
                  <v:path arrowok="t"/>
                  <v:fill focussize="0,0"/>
                  <v:stroke weight="0.5pt"/>
                  <v:imagedata o:title=""/>
                  <o:lock v:ext="edit"/>
                </v:line>
              </w:pict>
            </w:r>
            <w:r>
              <w:rPr>
                <w:rFonts w:hint="eastAsia" w:cs="仿宋" w:asciiTheme="minorEastAsia" w:hAnsiTheme="minorEastAsia" w:eastAsiaTheme="minorEastAsia"/>
                <w:b w:val="0"/>
                <w:bCs w:val="0"/>
                <w:color w:val="000000" w:themeColor="text1"/>
              </w:rPr>
              <w:t xml:space="preserve">      教学活动</w:t>
            </w:r>
          </w:p>
          <w:p>
            <w:pPr>
              <w:pStyle w:val="34"/>
              <w:spacing w:line="360" w:lineRule="auto"/>
              <w:ind w:right="-82" w:rightChars="-39"/>
              <w:jc w:val="both"/>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 xml:space="preserve">  学期</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入学</w:t>
            </w:r>
          </w:p>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教育</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军训</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公益</w:t>
            </w:r>
          </w:p>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劳动</w:t>
            </w: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社会</w:t>
            </w:r>
          </w:p>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实践</w:t>
            </w: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见习</w:t>
            </w:r>
          </w:p>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实习</w:t>
            </w: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综合</w:t>
            </w:r>
          </w:p>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实训</w:t>
            </w:r>
          </w:p>
        </w:tc>
        <w:tc>
          <w:tcPr>
            <w:tcW w:w="877" w:type="dxa"/>
            <w:vAlign w:val="center"/>
          </w:tcPr>
          <w:p>
            <w:pPr>
              <w:pStyle w:val="34"/>
              <w:spacing w:line="360" w:lineRule="auto"/>
              <w:ind w:right="-82" w:rightChars="-39"/>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顶岗</w:t>
            </w:r>
          </w:p>
          <w:p>
            <w:pPr>
              <w:pStyle w:val="34"/>
              <w:spacing w:line="360" w:lineRule="auto"/>
              <w:ind w:right="-82" w:rightChars="-39"/>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实习</w:t>
            </w:r>
          </w:p>
        </w:tc>
        <w:tc>
          <w:tcPr>
            <w:tcW w:w="877" w:type="dxa"/>
            <w:vAlign w:val="center"/>
          </w:tcPr>
          <w:p>
            <w:pPr>
              <w:pStyle w:val="34"/>
              <w:spacing w:line="360" w:lineRule="auto"/>
              <w:ind w:right="-82" w:rightChars="-39"/>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毕业</w:t>
            </w:r>
          </w:p>
          <w:p>
            <w:pPr>
              <w:pStyle w:val="34"/>
              <w:spacing w:line="360" w:lineRule="auto"/>
              <w:ind w:right="-82" w:rightChars="-39"/>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教育</w:t>
            </w:r>
          </w:p>
        </w:tc>
        <w:tc>
          <w:tcPr>
            <w:tcW w:w="1182" w:type="dxa"/>
            <w:vAlign w:val="center"/>
          </w:tcPr>
          <w:p>
            <w:pPr>
              <w:pStyle w:val="34"/>
              <w:spacing w:line="360" w:lineRule="auto"/>
              <w:ind w:right="-82" w:rightChars="-39"/>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理论教</w:t>
            </w:r>
          </w:p>
          <w:p>
            <w:pPr>
              <w:pStyle w:val="34"/>
              <w:spacing w:line="360" w:lineRule="auto"/>
              <w:ind w:right="-82" w:rightChars="-39"/>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学周数</w:t>
            </w:r>
          </w:p>
        </w:tc>
        <w:tc>
          <w:tcPr>
            <w:tcW w:w="1831" w:type="dxa"/>
            <w:vAlign w:val="center"/>
          </w:tcPr>
          <w:p>
            <w:pPr>
              <w:pStyle w:val="34"/>
              <w:spacing w:line="360" w:lineRule="auto"/>
              <w:ind w:right="-82" w:rightChars="-39"/>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学期教学</w:t>
            </w:r>
          </w:p>
          <w:p>
            <w:pPr>
              <w:pStyle w:val="34"/>
              <w:spacing w:line="360" w:lineRule="auto"/>
              <w:ind w:right="-82" w:rightChars="-39"/>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总周数</w:t>
            </w:r>
          </w:p>
        </w:tc>
        <w:tc>
          <w:tcPr>
            <w:tcW w:w="1256" w:type="dxa"/>
            <w:vAlign w:val="center"/>
          </w:tcPr>
          <w:p>
            <w:pPr>
              <w:pStyle w:val="34"/>
              <w:spacing w:line="360" w:lineRule="auto"/>
              <w:ind w:right="-82" w:rightChars="-39"/>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一</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二</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三</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四</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3</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五</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3</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17</w:t>
            </w: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六</w:t>
            </w: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99"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75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4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953"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19</w:t>
            </w:r>
          </w:p>
        </w:tc>
        <w:tc>
          <w:tcPr>
            <w:tcW w:w="877"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1182"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c>
          <w:tcPr>
            <w:tcW w:w="1831"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20</w:t>
            </w:r>
          </w:p>
        </w:tc>
        <w:tc>
          <w:tcPr>
            <w:tcW w:w="1256" w:type="dxa"/>
            <w:vAlign w:val="center"/>
          </w:tcPr>
          <w:p>
            <w:pPr>
              <w:pStyle w:val="35"/>
              <w:spacing w:line="360" w:lineRule="auto"/>
              <w:ind w:right="-82" w:rightChars="-39"/>
              <w:jc w:val="center"/>
              <w:rPr>
                <w:rFonts w:cs="仿宋" w:asciiTheme="minorEastAsia" w:hAnsiTheme="minorEastAsia" w:eastAsiaTheme="minorEastAsia"/>
                <w:color w:val="000000" w:themeColor="text1"/>
                <w:szCs w:val="21"/>
              </w:rPr>
            </w:pPr>
          </w:p>
        </w:tc>
      </w:tr>
    </w:tbl>
    <w:p>
      <w:pPr>
        <w:pStyle w:val="34"/>
        <w:spacing w:line="360" w:lineRule="auto"/>
        <w:ind w:right="-82" w:rightChars="-39"/>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color w:val="000000" w:themeColor="text1"/>
        </w:rPr>
        <w:br w:type="page"/>
      </w:r>
      <w:bookmarkStart w:id="40" w:name="_Toc27164"/>
      <w:bookmarkStart w:id="41" w:name="_Toc9934"/>
      <w:r>
        <w:rPr>
          <w:rFonts w:hint="eastAsia" w:cs="仿宋" w:asciiTheme="minorEastAsia" w:hAnsiTheme="minorEastAsia" w:eastAsiaTheme="minorEastAsia"/>
          <w:bCs w:val="0"/>
          <w:color w:val="000000" w:themeColor="text1"/>
        </w:rPr>
        <w:t>（二）专业教学计划明细表</w:t>
      </w:r>
      <w:bookmarkEnd w:id="40"/>
      <w:bookmarkEnd w:id="41"/>
    </w:p>
    <w:p>
      <w:pPr>
        <w:pStyle w:val="34"/>
        <w:spacing w:line="360" w:lineRule="auto"/>
        <w:ind w:right="-82" w:rightChars="-39"/>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表12、专业教学计划一览表</w:t>
      </w:r>
    </w:p>
    <w:tbl>
      <w:tblPr>
        <w:tblStyle w:val="18"/>
        <w:tblW w:w="136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9"/>
        <w:gridCol w:w="425"/>
        <w:gridCol w:w="2884"/>
        <w:gridCol w:w="709"/>
        <w:gridCol w:w="742"/>
        <w:gridCol w:w="780"/>
        <w:gridCol w:w="746"/>
        <w:gridCol w:w="850"/>
        <w:gridCol w:w="709"/>
        <w:gridCol w:w="992"/>
        <w:gridCol w:w="709"/>
        <w:gridCol w:w="709"/>
        <w:gridCol w:w="567"/>
        <w:gridCol w:w="850"/>
        <w:gridCol w:w="567"/>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672" w:type="dxa"/>
            <w:gridSpan w:val="2"/>
            <w:vMerge w:val="restart"/>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课程</w:t>
            </w:r>
          </w:p>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类别</w:t>
            </w:r>
          </w:p>
        </w:tc>
        <w:tc>
          <w:tcPr>
            <w:tcW w:w="3309" w:type="dxa"/>
            <w:gridSpan w:val="2"/>
            <w:vMerge w:val="restart"/>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课程名称</w:t>
            </w:r>
          </w:p>
        </w:tc>
        <w:tc>
          <w:tcPr>
            <w:tcW w:w="709" w:type="dxa"/>
            <w:vMerge w:val="restart"/>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总</w:t>
            </w:r>
          </w:p>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学</w:t>
            </w:r>
          </w:p>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时</w:t>
            </w:r>
          </w:p>
        </w:tc>
        <w:tc>
          <w:tcPr>
            <w:tcW w:w="742" w:type="dxa"/>
            <w:vMerge w:val="restart"/>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其中实践学时</w:t>
            </w:r>
          </w:p>
        </w:tc>
        <w:tc>
          <w:tcPr>
            <w:tcW w:w="780" w:type="dxa"/>
            <w:vMerge w:val="restart"/>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学分</w:t>
            </w:r>
          </w:p>
        </w:tc>
        <w:tc>
          <w:tcPr>
            <w:tcW w:w="746" w:type="dxa"/>
            <w:vMerge w:val="restart"/>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集中面授学习学时</w:t>
            </w:r>
          </w:p>
        </w:tc>
        <w:tc>
          <w:tcPr>
            <w:tcW w:w="850" w:type="dxa"/>
            <w:vMerge w:val="restart"/>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平台自主学习学时</w:t>
            </w:r>
          </w:p>
        </w:tc>
        <w:tc>
          <w:tcPr>
            <w:tcW w:w="709" w:type="dxa"/>
            <w:vMerge w:val="restart"/>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其它</w:t>
            </w:r>
          </w:p>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学时</w:t>
            </w:r>
          </w:p>
        </w:tc>
        <w:tc>
          <w:tcPr>
            <w:tcW w:w="4394" w:type="dxa"/>
            <w:gridSpan w:val="6"/>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学期</w:t>
            </w:r>
          </w:p>
        </w:tc>
        <w:tc>
          <w:tcPr>
            <w:tcW w:w="787" w:type="dxa"/>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考试/考查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672" w:type="dxa"/>
            <w:gridSpan w:val="2"/>
            <w:vMerge w:val="continue"/>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3309" w:type="dxa"/>
            <w:gridSpan w:val="2"/>
            <w:vMerge w:val="continue"/>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709" w:type="dxa"/>
            <w:vMerge w:val="continue"/>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742" w:type="dxa"/>
            <w:vMerge w:val="continue"/>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780" w:type="dxa"/>
            <w:vMerge w:val="continue"/>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746" w:type="dxa"/>
            <w:vMerge w:val="continue"/>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850" w:type="dxa"/>
            <w:vMerge w:val="continue"/>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709" w:type="dxa"/>
            <w:vMerge w:val="continue"/>
            <w:vAlign w:val="center"/>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992"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w:t>
            </w:r>
          </w:p>
        </w:tc>
        <w:tc>
          <w:tcPr>
            <w:tcW w:w="709"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709"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3</w:t>
            </w:r>
          </w:p>
        </w:tc>
        <w:tc>
          <w:tcPr>
            <w:tcW w:w="567"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850"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5</w:t>
            </w:r>
          </w:p>
        </w:tc>
        <w:tc>
          <w:tcPr>
            <w:tcW w:w="567"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6</w:t>
            </w:r>
          </w:p>
        </w:tc>
        <w:tc>
          <w:tcPr>
            <w:tcW w:w="787" w:type="dxa"/>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672" w:type="dxa"/>
            <w:gridSpan w:val="2"/>
            <w:vMerge w:val="continue"/>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3309" w:type="dxa"/>
            <w:gridSpan w:val="2"/>
            <w:vMerge w:val="continue"/>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709" w:type="dxa"/>
            <w:vMerge w:val="continue"/>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742" w:type="dxa"/>
            <w:vMerge w:val="continue"/>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780" w:type="dxa"/>
            <w:vMerge w:val="continue"/>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746" w:type="dxa"/>
            <w:vMerge w:val="continue"/>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850" w:type="dxa"/>
            <w:vMerge w:val="continue"/>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709" w:type="dxa"/>
            <w:vMerge w:val="continue"/>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c>
          <w:tcPr>
            <w:tcW w:w="992"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20</w:t>
            </w:r>
          </w:p>
        </w:tc>
        <w:tc>
          <w:tcPr>
            <w:tcW w:w="709"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20</w:t>
            </w:r>
          </w:p>
        </w:tc>
        <w:tc>
          <w:tcPr>
            <w:tcW w:w="709"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20</w:t>
            </w:r>
          </w:p>
        </w:tc>
        <w:tc>
          <w:tcPr>
            <w:tcW w:w="567"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20</w:t>
            </w:r>
          </w:p>
        </w:tc>
        <w:tc>
          <w:tcPr>
            <w:tcW w:w="850"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20</w:t>
            </w:r>
          </w:p>
        </w:tc>
        <w:tc>
          <w:tcPr>
            <w:tcW w:w="567" w:type="dxa"/>
            <w:vAlign w:val="center"/>
          </w:tcPr>
          <w:p>
            <w:pPr>
              <w:pStyle w:val="34"/>
              <w:keepNext w:val="0"/>
              <w:keepLines w:val="0"/>
              <w:pageBreakBefore w:val="0"/>
              <w:widowControl/>
              <w:kinsoku/>
              <w:wordWrap/>
              <w:overflowPunct/>
              <w:topLinePunct w:val="0"/>
              <w:autoSpaceDE/>
              <w:autoSpaceDN/>
              <w:bidi w:val="0"/>
              <w:adjustRightInd/>
              <w:snapToGrid/>
              <w:spacing w:line="240" w:lineRule="auto"/>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20</w:t>
            </w:r>
          </w:p>
        </w:tc>
        <w:tc>
          <w:tcPr>
            <w:tcW w:w="787" w:type="dxa"/>
          </w:tcPr>
          <w:p>
            <w:pPr>
              <w:pStyle w:val="34"/>
              <w:keepNext w:val="0"/>
              <w:keepLines w:val="0"/>
              <w:pageBreakBefore w:val="0"/>
              <w:widowControl/>
              <w:kinsoku/>
              <w:wordWrap/>
              <w:overflowPunct/>
              <w:topLinePunct w:val="0"/>
              <w:autoSpaceDE/>
              <w:autoSpaceDN/>
              <w:bidi w:val="0"/>
              <w:adjustRightInd/>
              <w:snapToGrid/>
              <w:spacing w:line="240" w:lineRule="auto"/>
              <w:jc w:val="left"/>
              <w:textAlignment w:val="auto"/>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672" w:type="dxa"/>
            <w:gridSpan w:val="2"/>
            <w:vMerge w:val="restart"/>
          </w:tcPr>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公</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共</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基</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础</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课</w:t>
            </w: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思想道德修养与法律基础（含思政课实践1学分）（网络学习）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42</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10</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3</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3</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毛泽东思想和中国特色社会主义理论体系概论（网络学习）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72</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16</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形式与政策（网络学习）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16</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8</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党史国史（网络学习）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16</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8</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2（8W）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马克思主义理论类（网络学习）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16</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8</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2（8W）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体育（体育健康测试）（自学）</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98</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98</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7</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2.5</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2.5</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心理健康教育（自学）</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16</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8</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2（8W）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军事理论和军事技能（自学）</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140</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112</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2(2W)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美育（自学）</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16</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0</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2（8W）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中华优秀传统文化（网络学习）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36</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0</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创新创业基础（网络学习）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14</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7</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28</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2（7W）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大学生创新创业指导（网络学习）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16</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8</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28</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850" w:type="dxa"/>
          </w:tcPr>
          <w:p>
            <w:pPr>
              <w:pStyle w:val="34"/>
              <w:spacing w:line="360" w:lineRule="auto"/>
              <w:jc w:val="both"/>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2（8W）</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大学生职业生涯规划（网络学习）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14</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7</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28</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2（7W）</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大学生就业指导（网络学习）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16</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8</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28</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2（8W）</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大学英语（网络学习）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92</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0</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6</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176</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8</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数学（网络学习）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64</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172</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12</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大学语文（网络学习）</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56</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0</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64</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68</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计算机公共基础（集中面授）</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56</w:t>
            </w: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56</w:t>
            </w: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78</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66</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72"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09" w:type="dxa"/>
            <w:gridSpan w:val="2"/>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小计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796</w:t>
            </w:r>
          </w:p>
        </w:tc>
        <w:tc>
          <w:tcPr>
            <w:tcW w:w="742"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356</w:t>
            </w:r>
          </w:p>
        </w:tc>
        <w:tc>
          <w:tcPr>
            <w:tcW w:w="78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47</w:t>
            </w:r>
          </w:p>
        </w:tc>
        <w:tc>
          <w:tcPr>
            <w:tcW w:w="746"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602</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170</w:t>
            </w:r>
          </w:p>
        </w:tc>
        <w:tc>
          <w:tcPr>
            <w:tcW w:w="709" w:type="dxa"/>
            <w:vAlign w:val="center"/>
          </w:tcPr>
          <w:p>
            <w:pPr>
              <w:spacing w:line="360" w:lineRule="auto"/>
              <w:jc w:val="right"/>
              <w:rPr>
                <w:rFonts w:cs="宋体" w:asciiTheme="minorEastAsia" w:hAnsiTheme="minorEastAsia" w:eastAsiaTheme="minorEastAsia"/>
                <w:color w:val="000000"/>
                <w:szCs w:val="2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53" w:type="dxa"/>
            <w:vMerge w:val="restart"/>
          </w:tcPr>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专</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业</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课</w:t>
            </w: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专</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业</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基</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础</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课</w:t>
            </w:r>
          </w:p>
        </w:tc>
        <w:tc>
          <w:tcPr>
            <w:tcW w:w="2884"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金融基础（集中面授）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证券投资（集中面授）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会计基础（集中面授）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bottom"/>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经济法基础（集中面授）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70</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小计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216</w:t>
            </w:r>
          </w:p>
        </w:tc>
        <w:tc>
          <w:tcPr>
            <w:tcW w:w="742"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142</w:t>
            </w:r>
          </w:p>
        </w:tc>
        <w:tc>
          <w:tcPr>
            <w:tcW w:w="78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12</w:t>
            </w:r>
          </w:p>
        </w:tc>
        <w:tc>
          <w:tcPr>
            <w:tcW w:w="746"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216</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专业</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核心</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课程</w:t>
            </w: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★金融服务营销（集中面授）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★互联网金融概述</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★金融服务外包理论与实务（集中面授）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★服务外包项目管理</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★保险客户服务与管理</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小计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180</w:t>
            </w:r>
          </w:p>
        </w:tc>
        <w:tc>
          <w:tcPr>
            <w:tcW w:w="742"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82</w:t>
            </w:r>
          </w:p>
        </w:tc>
        <w:tc>
          <w:tcPr>
            <w:tcW w:w="78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10</w:t>
            </w:r>
          </w:p>
        </w:tc>
        <w:tc>
          <w:tcPr>
            <w:tcW w:w="746"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180</w:t>
            </w:r>
          </w:p>
        </w:tc>
        <w:tc>
          <w:tcPr>
            <w:tcW w:w="850" w:type="dxa"/>
            <w:vAlign w:val="center"/>
          </w:tcPr>
          <w:p>
            <w:pPr>
              <w:spacing w:line="360" w:lineRule="auto"/>
              <w:rPr>
                <w:rFonts w:cs="宋体" w:asciiTheme="minorEastAsia" w:hAnsiTheme="minorEastAsia" w:eastAsiaTheme="minorEastAsia"/>
                <w:color w:val="000000"/>
                <w:szCs w:val="21"/>
              </w:rPr>
            </w:pP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992"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8</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8</w:t>
            </w: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restart"/>
          </w:tcPr>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选</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修</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课</w:t>
            </w: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公共选修课</w:t>
            </w: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演讲与口才</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应用文写作</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哲学与人生</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职业道德</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毛泽东军事思想</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桥牌</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象棋</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80"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center"/>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小计</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right="-82" w:rightChars="-39"/>
              <w:jc w:val="center"/>
              <w:textAlignment w:val="auto"/>
              <w:rPr>
                <w:rFonts w:hint="eastAsia" w:cs="仿宋" w:asciiTheme="minorEastAsia" w:hAnsiTheme="minorEastAsia" w:eastAsiaTheme="minorEastAsia"/>
                <w:color w:val="000000" w:themeColor="text1"/>
                <w:sz w:val="18"/>
                <w:szCs w:val="18"/>
                <w:lang w:eastAsia="zh-CN"/>
              </w:rPr>
            </w:pPr>
            <w:r>
              <w:rPr>
                <w:rFonts w:hint="eastAsia" w:cs="仿宋" w:asciiTheme="minorEastAsia" w:hAnsiTheme="minorEastAsia" w:eastAsiaTheme="minorEastAsia"/>
                <w:color w:val="000000" w:themeColor="text1"/>
                <w:sz w:val="18"/>
                <w:szCs w:val="18"/>
                <w:lang w:eastAsia="zh-CN"/>
              </w:rPr>
              <w:t>所选学分不得低于</w:t>
            </w:r>
            <w:r>
              <w:rPr>
                <w:rFonts w:hint="eastAsia" w:cs="仿宋" w:asciiTheme="minorEastAsia" w:hAnsiTheme="minorEastAsia" w:eastAsiaTheme="minorEastAsia"/>
                <w:color w:val="000000" w:themeColor="text1"/>
                <w:sz w:val="18"/>
                <w:szCs w:val="18"/>
              </w:rPr>
              <w:t>128</w:t>
            </w:r>
            <w:r>
              <w:rPr>
                <w:rFonts w:hint="eastAsia" w:cs="仿宋" w:asciiTheme="minorEastAsia" w:hAnsiTheme="minorEastAsia" w:eastAsiaTheme="minorEastAsia"/>
                <w:color w:val="000000" w:themeColor="text1"/>
                <w:sz w:val="18"/>
                <w:szCs w:val="18"/>
                <w:lang w:eastAsia="zh-CN"/>
              </w:rPr>
              <w:t>分</w:t>
            </w:r>
          </w:p>
        </w:tc>
        <w:tc>
          <w:tcPr>
            <w:tcW w:w="742" w:type="dxa"/>
            <w:vAlign w:val="center"/>
          </w:tcPr>
          <w:p>
            <w:pPr>
              <w:pStyle w:val="34"/>
              <w:spacing w:line="360" w:lineRule="auto"/>
              <w:jc w:val="center"/>
              <w:rPr>
                <w:rFonts w:cs="仿宋" w:asciiTheme="minorEastAsia" w:hAnsiTheme="minorEastAsia" w:eastAsiaTheme="minorEastAsia"/>
                <w:b w:val="0"/>
                <w:bCs w:val="0"/>
                <w:color w:val="000000" w:themeColor="text1"/>
                <w:sz w:val="18"/>
                <w:szCs w:val="18"/>
              </w:rPr>
            </w:pPr>
          </w:p>
        </w:tc>
        <w:tc>
          <w:tcPr>
            <w:tcW w:w="78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right="-82" w:rightChars="-39"/>
              <w:jc w:val="center"/>
              <w:textAlignment w:val="auto"/>
              <w:rPr>
                <w:rFonts w:hint="eastAsia" w:cs="仿宋" w:asciiTheme="minorEastAsia" w:hAnsiTheme="minorEastAsia" w:eastAsiaTheme="minorEastAsia"/>
                <w:b w:val="0"/>
                <w:bCs w:val="0"/>
                <w:color w:val="000000" w:themeColor="text1"/>
                <w:kern w:val="2"/>
                <w:sz w:val="18"/>
                <w:szCs w:val="18"/>
                <w:lang w:val="en-US" w:eastAsia="zh-CN" w:bidi="ar-SA"/>
              </w:rPr>
            </w:pPr>
            <w:r>
              <w:rPr>
                <w:rFonts w:hint="eastAsia" w:cs="仿宋" w:asciiTheme="minorEastAsia" w:hAnsiTheme="minorEastAsia" w:eastAsiaTheme="minorEastAsia"/>
                <w:b w:val="0"/>
                <w:bCs w:val="0"/>
                <w:color w:val="000000" w:themeColor="text1"/>
                <w:kern w:val="2"/>
                <w:sz w:val="18"/>
                <w:szCs w:val="18"/>
                <w:lang w:val="en-US" w:eastAsia="zh-CN" w:bidi="ar-SA"/>
              </w:rPr>
              <w:t>所选学分不得低于</w:t>
            </w:r>
          </w:p>
          <w:p>
            <w:pPr>
              <w:keepNext w:val="0"/>
              <w:keepLines w:val="0"/>
              <w:pageBreakBefore w:val="0"/>
              <w:widowControl w:val="0"/>
              <w:kinsoku/>
              <w:wordWrap/>
              <w:overflowPunct/>
              <w:topLinePunct w:val="0"/>
              <w:autoSpaceDE/>
              <w:autoSpaceDN/>
              <w:bidi w:val="0"/>
              <w:adjustRightInd/>
              <w:snapToGrid/>
              <w:spacing w:line="240" w:lineRule="atLeast"/>
              <w:ind w:right="-82" w:rightChars="-39"/>
              <w:jc w:val="center"/>
              <w:textAlignment w:val="auto"/>
              <w:rPr>
                <w:rFonts w:cs="仿宋" w:asciiTheme="minorEastAsia" w:hAnsiTheme="minorEastAsia" w:eastAsiaTheme="minorEastAsia"/>
                <w:b w:val="0"/>
                <w:bCs w:val="0"/>
                <w:color w:val="000000" w:themeColor="text1"/>
                <w:sz w:val="18"/>
                <w:szCs w:val="18"/>
              </w:rPr>
            </w:pPr>
            <w:r>
              <w:rPr>
                <w:rFonts w:hint="eastAsia" w:cs="仿宋" w:asciiTheme="minorEastAsia" w:hAnsiTheme="minorEastAsia" w:eastAsiaTheme="minorEastAsia"/>
                <w:b w:val="0"/>
                <w:bCs w:val="0"/>
                <w:color w:val="000000" w:themeColor="text1"/>
                <w:kern w:val="2"/>
                <w:sz w:val="18"/>
                <w:szCs w:val="18"/>
                <w:lang w:val="en-US" w:eastAsia="zh-CN" w:bidi="ar-SA"/>
              </w:rPr>
              <w:t>16分</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专业选修课</w:t>
            </w: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基础会计手工实训</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基础会计电子实训</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szCs w:val="21"/>
              </w:rPr>
              <w:t>金融服务礼仪（网络学习）</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szCs w:val="21"/>
              </w:rPr>
              <w:t>客户关系管理（集中面授）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虚拟报税实训（集中面授）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kern w:val="0"/>
                <w:szCs w:val="21"/>
              </w:rPr>
              <w:t>统计方法训练</w:t>
            </w:r>
            <w:r>
              <w:rPr>
                <w:rFonts w:hint="eastAsia" w:asciiTheme="minorEastAsia" w:hAnsiTheme="minorEastAsia" w:eastAsiaTheme="minorEastAsia" w:cstheme="minorEastAsia"/>
                <w:color w:val="000000" w:themeColor="text1"/>
                <w:szCs w:val="21"/>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850"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会计信息化（集中面授）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992"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709" w:type="dxa"/>
            <w:vAlign w:val="center"/>
          </w:tcPr>
          <w:p>
            <w:pPr>
              <w:spacing w:line="360" w:lineRule="auto"/>
              <w:jc w:val="center"/>
              <w:rPr>
                <w:rFonts w:asciiTheme="minorEastAsia" w:hAnsiTheme="minorEastAsia" w:eastAsiaTheme="minorEastAsia" w:cstheme="minorEastAsia"/>
                <w:szCs w:val="21"/>
              </w:rPr>
            </w:pPr>
          </w:p>
        </w:tc>
        <w:tc>
          <w:tcPr>
            <w:tcW w:w="56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财政与金融（集中面授）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企业经济业务核算</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（集中面授）</w:t>
            </w:r>
          </w:p>
        </w:tc>
        <w:tc>
          <w:tcPr>
            <w:tcW w:w="709" w:type="dxa"/>
            <w:vAlign w:val="center"/>
          </w:tcPr>
          <w:p>
            <w:pPr>
              <w:pStyle w:val="34"/>
              <w:spacing w:line="360" w:lineRule="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108</w:t>
            </w:r>
          </w:p>
        </w:tc>
        <w:tc>
          <w:tcPr>
            <w:tcW w:w="742" w:type="dxa"/>
            <w:vAlign w:val="center"/>
          </w:tcPr>
          <w:p>
            <w:pPr>
              <w:pStyle w:val="34"/>
              <w:spacing w:line="360" w:lineRule="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54</w:t>
            </w:r>
          </w:p>
        </w:tc>
        <w:tc>
          <w:tcPr>
            <w:tcW w:w="780" w:type="dxa"/>
            <w:vAlign w:val="center"/>
          </w:tcPr>
          <w:p>
            <w:pPr>
              <w:pStyle w:val="34"/>
              <w:spacing w:line="360" w:lineRule="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6</w:t>
            </w:r>
          </w:p>
        </w:tc>
        <w:tc>
          <w:tcPr>
            <w:tcW w:w="746" w:type="dxa"/>
            <w:vAlign w:val="center"/>
          </w:tcPr>
          <w:p>
            <w:pPr>
              <w:pStyle w:val="34"/>
              <w:spacing w:line="360" w:lineRule="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108</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财务管理（集中面授）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管理会计（集中面授）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税费计算与申报（集中面授）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keepNext w:val="0"/>
              <w:keepLines w:val="0"/>
              <w:pageBreakBefore w:val="0"/>
              <w:widowControl w:val="0"/>
              <w:kinsoku/>
              <w:wordWrap/>
              <w:overflowPunct/>
              <w:topLinePunct w:val="0"/>
              <w:autoSpaceDE/>
              <w:autoSpaceDN/>
              <w:bidi w:val="0"/>
              <w:adjustRightInd/>
              <w:snapToGrid/>
              <w:spacing w:line="240" w:lineRule="atLeast"/>
              <w:ind w:right="-82" w:rightChars="-39"/>
              <w:jc w:val="center"/>
              <w:textAlignment w:val="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小计</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right="-82" w:rightChars="-39"/>
              <w:jc w:val="center"/>
              <w:textAlignment w:val="auto"/>
              <w:rPr>
                <w:rFonts w:cs="宋体" w:asciiTheme="minorEastAsia" w:hAnsiTheme="minorEastAsia" w:eastAsiaTheme="minorEastAsia"/>
                <w:color w:val="000000"/>
                <w:szCs w:val="21"/>
              </w:rPr>
            </w:pPr>
            <w:r>
              <w:rPr>
                <w:rFonts w:hint="eastAsia" w:cs="仿宋" w:asciiTheme="minorEastAsia" w:hAnsiTheme="minorEastAsia" w:eastAsiaTheme="minorEastAsia"/>
                <w:b w:val="0"/>
                <w:bCs w:val="0"/>
                <w:color w:val="000000" w:themeColor="text1"/>
                <w:kern w:val="2"/>
                <w:sz w:val="18"/>
                <w:szCs w:val="18"/>
                <w:lang w:val="en-US" w:eastAsia="zh-CN" w:bidi="ar-SA"/>
              </w:rPr>
              <w:t>所选学分不得低于538</w:t>
            </w:r>
          </w:p>
        </w:tc>
        <w:tc>
          <w:tcPr>
            <w:tcW w:w="742"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504</w:t>
            </w:r>
          </w:p>
        </w:tc>
        <w:tc>
          <w:tcPr>
            <w:tcW w:w="78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right="-82" w:rightChars="-39"/>
              <w:jc w:val="center"/>
              <w:textAlignment w:val="auto"/>
              <w:rPr>
                <w:rFonts w:hint="eastAsia" w:cs="仿宋" w:asciiTheme="minorEastAsia" w:hAnsiTheme="minorEastAsia" w:eastAsiaTheme="minorEastAsia"/>
                <w:color w:val="000000" w:themeColor="text1"/>
                <w:sz w:val="18"/>
                <w:szCs w:val="18"/>
                <w:lang w:eastAsia="zh-CN"/>
              </w:rPr>
            </w:pPr>
            <w:r>
              <w:rPr>
                <w:rFonts w:hint="eastAsia" w:cs="仿宋" w:asciiTheme="minorEastAsia" w:hAnsiTheme="minorEastAsia" w:eastAsiaTheme="minorEastAsia"/>
                <w:b w:val="0"/>
                <w:bCs w:val="0"/>
                <w:color w:val="000000" w:themeColor="text1"/>
                <w:kern w:val="2"/>
                <w:sz w:val="18"/>
                <w:szCs w:val="18"/>
                <w:lang w:val="en-US" w:eastAsia="zh-CN" w:bidi="ar-SA"/>
              </w:rPr>
              <w:t>所选学分不得低于28</w:t>
            </w:r>
          </w:p>
        </w:tc>
        <w:tc>
          <w:tcPr>
            <w:tcW w:w="746"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720</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36</w:t>
            </w:r>
          </w:p>
        </w:tc>
        <w:tc>
          <w:tcPr>
            <w:tcW w:w="992"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10</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6</w:t>
            </w:r>
          </w:p>
        </w:tc>
        <w:tc>
          <w:tcPr>
            <w:tcW w:w="567"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12</w:t>
            </w:r>
          </w:p>
        </w:tc>
        <w:tc>
          <w:tcPr>
            <w:tcW w:w="85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restart"/>
          </w:tcPr>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实</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习</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实</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训</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课</w:t>
            </w:r>
          </w:p>
        </w:tc>
        <w:tc>
          <w:tcPr>
            <w:tcW w:w="3328" w:type="dxa"/>
            <w:gridSpan w:val="3"/>
            <w:vAlign w:val="center"/>
          </w:tcPr>
          <w:p>
            <w:pPr>
              <w:pStyle w:val="34"/>
              <w:spacing w:line="360" w:lineRule="auto"/>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专业认知实习</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18</w:t>
            </w:r>
          </w:p>
        </w:tc>
        <w:tc>
          <w:tcPr>
            <w:tcW w:w="742"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18</w:t>
            </w:r>
          </w:p>
        </w:tc>
        <w:tc>
          <w:tcPr>
            <w:tcW w:w="78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0</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28" w:type="dxa"/>
            <w:gridSpan w:val="3"/>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社会实践、入学教育、毕业教育、公益劳动</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18</w:t>
            </w:r>
          </w:p>
        </w:tc>
        <w:tc>
          <w:tcPr>
            <w:tcW w:w="742"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18</w:t>
            </w:r>
          </w:p>
        </w:tc>
        <w:tc>
          <w:tcPr>
            <w:tcW w:w="78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0</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vAlign w:val="center"/>
          </w:tcPr>
          <w:p>
            <w:pPr>
              <w:pStyle w:val="34"/>
              <w:spacing w:line="360" w:lineRule="auto"/>
              <w:jc w:val="left"/>
              <w:rPr>
                <w:rFonts w:cs="仿宋" w:asciiTheme="minorEastAsia" w:hAnsiTheme="minorEastAsia" w:eastAsiaTheme="minorEastAsia"/>
                <w:b w:val="0"/>
                <w:bCs w:val="0"/>
                <w:color w:val="000000" w:themeColor="text1"/>
              </w:rPr>
            </w:pP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709"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850"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567"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w:t>
            </w: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restart"/>
          </w:tcPr>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综合实训</w:t>
            </w: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财务决策实训（集中面授）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VBSE财务综合实训</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金融营销技能实训</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vAlign w:val="center"/>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金融服务外包综合实训</w:t>
            </w:r>
          </w:p>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2</w:t>
            </w: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EXCEL数据处理与财务分析（集中面授）</w:t>
            </w:r>
          </w:p>
        </w:tc>
        <w:tc>
          <w:tcPr>
            <w:tcW w:w="709"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742"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w:t>
            </w:r>
          </w:p>
        </w:tc>
        <w:tc>
          <w:tcPr>
            <w:tcW w:w="78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74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4</w:t>
            </w: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3328" w:type="dxa"/>
            <w:gridSpan w:val="3"/>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顶岗实习</w:t>
            </w: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asciiTheme="minorEastAsia" w:hAnsiTheme="minorEastAsia" w:eastAsiaTheme="minorEastAsia" w:cstheme="minorEastAsia"/>
                <w:b w:val="0"/>
              </w:rPr>
              <w:t>390</w:t>
            </w:r>
          </w:p>
        </w:tc>
        <w:tc>
          <w:tcPr>
            <w:tcW w:w="742"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asciiTheme="minorEastAsia" w:hAnsiTheme="minorEastAsia" w:eastAsiaTheme="minorEastAsia" w:cstheme="minorEastAsia"/>
                <w:b w:val="0"/>
              </w:rPr>
              <w:t>390</w:t>
            </w:r>
          </w:p>
        </w:tc>
        <w:tc>
          <w:tcPr>
            <w:tcW w:w="780"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15</w:t>
            </w:r>
          </w:p>
        </w:tc>
        <w:tc>
          <w:tcPr>
            <w:tcW w:w="746"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asciiTheme="minorEastAsia" w:hAnsiTheme="minorEastAsia" w:eastAsiaTheme="minorEastAsia" w:cstheme="minorEastAsia"/>
                <w:b w:val="0"/>
              </w:rPr>
              <w:t>390</w:t>
            </w: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asciiTheme="minorEastAsia" w:hAnsiTheme="minorEastAsia" w:eastAsiaTheme="minorEastAsia"/>
                <w:b w:val="0"/>
              </w:rPr>
              <w:t>15W</w:t>
            </w: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r>
              <w:rPr>
                <w:rFonts w:hint="eastAsia" w:asciiTheme="minorEastAsia" w:hAnsiTheme="minorEastAsia" w:eastAsiaTheme="minorEastAsia" w:cstheme="minorEastAsia"/>
                <w:b w:val="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小计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642</w:t>
            </w:r>
          </w:p>
        </w:tc>
        <w:tc>
          <w:tcPr>
            <w:tcW w:w="742"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588</w:t>
            </w:r>
          </w:p>
        </w:tc>
        <w:tc>
          <w:tcPr>
            <w:tcW w:w="780"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31</w:t>
            </w:r>
          </w:p>
        </w:tc>
        <w:tc>
          <w:tcPr>
            <w:tcW w:w="746"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216</w:t>
            </w: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tcPr>
          <w:p>
            <w:pPr>
              <w:pStyle w:val="34"/>
              <w:spacing w:line="360" w:lineRule="auto"/>
              <w:jc w:val="left"/>
              <w:rPr>
                <w:rFonts w:cs="仿宋" w:asciiTheme="minorEastAsia" w:hAnsiTheme="minorEastAsia" w:eastAsiaTheme="minorEastAsia"/>
                <w:b w:val="0"/>
                <w:bCs w:val="0"/>
                <w:color w:val="000000" w:themeColor="text1"/>
              </w:rPr>
            </w:pPr>
          </w:p>
        </w:tc>
        <w:tc>
          <w:tcPr>
            <w:tcW w:w="444" w:type="dxa"/>
            <w:gridSpan w:val="2"/>
          </w:tcPr>
          <w:p>
            <w:pPr>
              <w:pStyle w:val="34"/>
              <w:spacing w:line="360" w:lineRule="auto"/>
              <w:jc w:val="left"/>
              <w:rPr>
                <w:rFonts w:cs="仿宋" w:asciiTheme="minorEastAsia" w:hAnsiTheme="minorEastAsia" w:eastAsiaTheme="minorEastAsia"/>
                <w:b w:val="0"/>
                <w:bCs w:val="0"/>
                <w:color w:val="000000" w:themeColor="text1"/>
              </w:rPr>
            </w:pPr>
          </w:p>
        </w:tc>
        <w:tc>
          <w:tcPr>
            <w:tcW w:w="2884" w:type="dxa"/>
          </w:tcPr>
          <w:p>
            <w:pPr>
              <w:pStyle w:val="34"/>
              <w:spacing w:line="360" w:lineRule="auto"/>
              <w:jc w:val="left"/>
              <w:rPr>
                <w:rFonts w:cs="仿宋" w:asciiTheme="minorEastAsia" w:hAnsiTheme="minorEastAsia" w:eastAsiaTheme="minorEastAsia"/>
                <w:b w:val="0"/>
                <w:bCs w:val="0"/>
                <w:color w:val="000000" w:themeColor="text1"/>
              </w:rPr>
            </w:pPr>
            <w:r>
              <w:rPr>
                <w:rFonts w:hint="eastAsia" w:cs="仿宋" w:asciiTheme="minorEastAsia" w:hAnsiTheme="minorEastAsia" w:eastAsiaTheme="minorEastAsia"/>
                <w:b w:val="0"/>
                <w:bCs w:val="0"/>
                <w:color w:val="000000" w:themeColor="text1"/>
              </w:rPr>
              <w:t>合     计</w:t>
            </w:r>
          </w:p>
        </w:tc>
        <w:tc>
          <w:tcPr>
            <w:tcW w:w="709" w:type="dxa"/>
            <w:vAlign w:val="center"/>
          </w:tcPr>
          <w:p>
            <w:pPr>
              <w:spacing w:line="360" w:lineRule="auto"/>
              <w:jc w:val="right"/>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2500</w:t>
            </w:r>
          </w:p>
        </w:tc>
        <w:tc>
          <w:tcPr>
            <w:tcW w:w="742" w:type="dxa"/>
            <w:vAlign w:val="center"/>
          </w:tcPr>
          <w:p>
            <w:pPr>
              <w:spacing w:line="360" w:lineRule="auto"/>
              <w:jc w:val="right"/>
              <w:rPr>
                <w:rFonts w:cs="宋体" w:asciiTheme="minorEastAsia" w:hAnsiTheme="minorEastAsia" w:eastAsiaTheme="minorEastAsia"/>
                <w:color w:val="000000"/>
                <w:szCs w:val="21"/>
              </w:rPr>
            </w:pPr>
          </w:p>
        </w:tc>
        <w:tc>
          <w:tcPr>
            <w:tcW w:w="780" w:type="dxa"/>
            <w:vAlign w:val="center"/>
          </w:tcPr>
          <w:p>
            <w:pPr>
              <w:spacing w:line="360" w:lineRule="auto"/>
              <w:jc w:val="right"/>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144</w:t>
            </w:r>
          </w:p>
        </w:tc>
        <w:tc>
          <w:tcPr>
            <w:tcW w:w="746" w:type="dxa"/>
            <w:vAlign w:val="center"/>
          </w:tcPr>
          <w:p>
            <w:pPr>
              <w:spacing w:line="360" w:lineRule="auto"/>
              <w:jc w:val="right"/>
              <w:rPr>
                <w:rFonts w:cs="宋体" w:asciiTheme="minorEastAsia" w:hAnsiTheme="minorEastAsia" w:eastAsiaTheme="minorEastAsia"/>
                <w:color w:val="000000"/>
                <w:szCs w:val="2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992"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709"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850" w:type="dxa"/>
          </w:tcPr>
          <w:p>
            <w:pPr>
              <w:pStyle w:val="34"/>
              <w:spacing w:line="360" w:lineRule="auto"/>
              <w:jc w:val="left"/>
              <w:rPr>
                <w:rFonts w:cs="仿宋" w:asciiTheme="minorEastAsia" w:hAnsiTheme="minorEastAsia" w:eastAsiaTheme="minorEastAsia"/>
                <w:b w:val="0"/>
                <w:bCs w:val="0"/>
                <w:color w:val="000000" w:themeColor="text1"/>
              </w:rPr>
            </w:pPr>
          </w:p>
        </w:tc>
        <w:tc>
          <w:tcPr>
            <w:tcW w:w="567" w:type="dxa"/>
          </w:tcPr>
          <w:p>
            <w:pPr>
              <w:pStyle w:val="34"/>
              <w:spacing w:line="360" w:lineRule="auto"/>
              <w:jc w:val="left"/>
              <w:rPr>
                <w:rFonts w:cs="仿宋" w:asciiTheme="minorEastAsia" w:hAnsiTheme="minorEastAsia" w:eastAsiaTheme="minorEastAsia"/>
                <w:b w:val="0"/>
                <w:bCs w:val="0"/>
                <w:color w:val="000000" w:themeColor="text1"/>
              </w:rPr>
            </w:pPr>
          </w:p>
        </w:tc>
        <w:tc>
          <w:tcPr>
            <w:tcW w:w="787" w:type="dxa"/>
          </w:tcPr>
          <w:p>
            <w:pPr>
              <w:pStyle w:val="34"/>
              <w:spacing w:line="240" w:lineRule="auto"/>
              <w:jc w:val="left"/>
              <w:rPr>
                <w:rFonts w:cs="仿宋" w:asciiTheme="minorEastAsia" w:hAnsiTheme="minorEastAsia" w:eastAsiaTheme="minorEastAsia"/>
                <w:b w:val="0"/>
                <w:bCs w:val="0"/>
                <w:color w:val="000000" w:themeColor="text1"/>
              </w:rPr>
            </w:pPr>
          </w:p>
        </w:tc>
      </w:tr>
    </w:tbl>
    <w:p>
      <w:pPr>
        <w:spacing w:line="360" w:lineRule="auto"/>
        <w:ind w:right="-82" w:rightChars="-39"/>
        <w:outlineLvl w:val="1"/>
        <w:rPr>
          <w:rFonts w:cs="仿宋" w:asciiTheme="minorEastAsia" w:hAnsiTheme="minorEastAsia" w:eastAsiaTheme="minorEastAsia"/>
          <w:b/>
          <w:bCs/>
          <w:color w:val="000000" w:themeColor="text1"/>
          <w:szCs w:val="21"/>
        </w:rPr>
      </w:pPr>
      <w:bookmarkStart w:id="42" w:name="_Toc2624"/>
      <w:bookmarkStart w:id="43" w:name="_Toc18191"/>
      <w:r>
        <w:rPr>
          <w:rFonts w:hint="eastAsia" w:cs="仿宋" w:asciiTheme="minorEastAsia" w:hAnsiTheme="minorEastAsia" w:eastAsiaTheme="minorEastAsia"/>
          <w:b/>
          <w:bCs/>
          <w:color w:val="000000" w:themeColor="text1"/>
          <w:szCs w:val="21"/>
        </w:rPr>
        <w:t>（四）教学课时结构分析表</w:t>
      </w:r>
      <w:bookmarkEnd w:id="42"/>
      <w:bookmarkEnd w:id="43"/>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表13、教学课时结构一览表</w:t>
      </w:r>
    </w:p>
    <w:tbl>
      <w:tblPr>
        <w:tblStyle w:val="18"/>
        <w:tblW w:w="135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1419"/>
        <w:gridCol w:w="1522"/>
        <w:gridCol w:w="1172"/>
        <w:gridCol w:w="14"/>
        <w:gridCol w:w="3615"/>
        <w:gridCol w:w="1390"/>
        <w:gridCol w:w="1419"/>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类别</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总学时</w:t>
            </w:r>
          </w:p>
        </w:tc>
        <w:tc>
          <w:tcPr>
            <w:tcW w:w="1522"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占   %</w:t>
            </w:r>
          </w:p>
        </w:tc>
        <w:tc>
          <w:tcPr>
            <w:tcW w:w="4801" w:type="dxa"/>
            <w:gridSpan w:val="3"/>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课程类别</w:t>
            </w: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学时数</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占   %</w:t>
            </w:r>
          </w:p>
        </w:tc>
        <w:tc>
          <w:tcPr>
            <w:tcW w:w="130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理</w:t>
            </w:r>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论</w:t>
            </w:r>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学</w:t>
            </w:r>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时</w:t>
            </w:r>
          </w:p>
        </w:tc>
        <w:tc>
          <w:tcPr>
            <w:tcW w:w="1419"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1032</w:t>
            </w:r>
          </w:p>
        </w:tc>
        <w:tc>
          <w:tcPr>
            <w:tcW w:w="1522"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41.3</w:t>
            </w:r>
          </w:p>
        </w:tc>
        <w:tc>
          <w:tcPr>
            <w:tcW w:w="4801" w:type="dxa"/>
            <w:gridSpan w:val="3"/>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公共基础课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440</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172" w:type="dxa"/>
            <w:vMerge w:val="restart"/>
            <w:textDirection w:val="tbRlV"/>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专业（技能）课</w:t>
            </w:r>
          </w:p>
        </w:tc>
        <w:tc>
          <w:tcPr>
            <w:tcW w:w="3629" w:type="dxa"/>
            <w:gridSpan w:val="2"/>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专业基础课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74</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17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3629" w:type="dxa"/>
            <w:gridSpan w:val="2"/>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专业核心课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98</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17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3629" w:type="dxa"/>
            <w:gridSpan w:val="2"/>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公共基础选修课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128</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17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3629" w:type="dxa"/>
            <w:gridSpan w:val="2"/>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专业选修课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238</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7742" w:type="dxa"/>
            <w:gridSpan w:val="5"/>
          </w:tcPr>
          <w:p>
            <w:pPr>
              <w:spacing w:line="360" w:lineRule="auto"/>
              <w:ind w:right="-82" w:rightChars="-39" w:firstLine="2940" w:firstLineChars="14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小计</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1032</w:t>
            </w:r>
          </w:p>
        </w:tc>
        <w:tc>
          <w:tcPr>
            <w:tcW w:w="1419"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41.3</w:t>
            </w: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1655"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实</w:t>
            </w:r>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训</w:t>
            </w:r>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实</w:t>
            </w:r>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习</w:t>
            </w:r>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学</w:t>
            </w:r>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时</w:t>
            </w:r>
          </w:p>
        </w:tc>
        <w:tc>
          <w:tcPr>
            <w:tcW w:w="1419"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1468</w:t>
            </w:r>
          </w:p>
        </w:tc>
        <w:tc>
          <w:tcPr>
            <w:tcW w:w="1522"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58.7</w:t>
            </w:r>
          </w:p>
        </w:tc>
        <w:tc>
          <w:tcPr>
            <w:tcW w:w="4801" w:type="dxa"/>
            <w:gridSpan w:val="3"/>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公共基础课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356</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186" w:type="dxa"/>
            <w:gridSpan w:val="2"/>
            <w:vMerge w:val="restart"/>
            <w:textDirection w:val="tbRlV"/>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专业（技能）课</w:t>
            </w:r>
          </w:p>
        </w:tc>
        <w:tc>
          <w:tcPr>
            <w:tcW w:w="3615" w:type="dxa"/>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专业基础课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142</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186" w:type="dxa"/>
            <w:gridSpan w:val="2"/>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3615" w:type="dxa"/>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专业核心课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82</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186" w:type="dxa"/>
            <w:gridSpan w:val="2"/>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3615" w:type="dxa"/>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公共基础选修课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0</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186" w:type="dxa"/>
            <w:gridSpan w:val="2"/>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3615" w:type="dxa"/>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专业选修课</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300</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4801" w:type="dxa"/>
            <w:gridSpan w:val="3"/>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其它军训、社会实践、入学教育、毕业教育、公益劳动</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18</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4801" w:type="dxa"/>
            <w:gridSpan w:val="3"/>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见习实习</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18</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4801" w:type="dxa"/>
            <w:gridSpan w:val="3"/>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综合实训</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216</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419"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1522"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4801" w:type="dxa"/>
            <w:gridSpan w:val="3"/>
          </w:tcPr>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顶岗实习</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390</w:t>
            </w:r>
          </w:p>
        </w:tc>
        <w:tc>
          <w:tcPr>
            <w:tcW w:w="1419" w:type="dxa"/>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cs="仿宋" w:asciiTheme="minorEastAsia" w:hAnsiTheme="minorEastAsia" w:eastAsiaTheme="minorEastAsia"/>
                <w:color w:val="000000" w:themeColor="text1"/>
                <w:szCs w:val="21"/>
              </w:rPr>
            </w:pPr>
          </w:p>
        </w:tc>
        <w:tc>
          <w:tcPr>
            <w:tcW w:w="7742" w:type="dxa"/>
            <w:gridSpan w:val="5"/>
          </w:tcPr>
          <w:p>
            <w:pPr>
              <w:spacing w:line="360" w:lineRule="auto"/>
              <w:ind w:right="-82" w:rightChars="-39" w:firstLine="2730" w:firstLineChars="13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小计</w:t>
            </w:r>
          </w:p>
        </w:tc>
        <w:tc>
          <w:tcPr>
            <w:tcW w:w="1390" w:type="dxa"/>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1468</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58.7</w:t>
            </w: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16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合计</w:t>
            </w:r>
          </w:p>
        </w:tc>
        <w:tc>
          <w:tcPr>
            <w:tcW w:w="1419" w:type="dxa"/>
            <w:vAlign w:val="center"/>
          </w:tcPr>
          <w:p>
            <w:pPr>
              <w:spacing w:line="360" w:lineRule="auto"/>
              <w:ind w:right="-82" w:rightChars="-39" w:firstLine="480"/>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2500</w:t>
            </w:r>
          </w:p>
        </w:tc>
        <w:tc>
          <w:tcPr>
            <w:tcW w:w="1522"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100</w:t>
            </w:r>
          </w:p>
        </w:tc>
        <w:tc>
          <w:tcPr>
            <w:tcW w:w="4801" w:type="dxa"/>
            <w:gridSpan w:val="3"/>
            <w:vAlign w:val="center"/>
          </w:tcPr>
          <w:p>
            <w:pPr>
              <w:spacing w:line="360" w:lineRule="auto"/>
              <w:ind w:right="-82" w:rightChars="-39" w:firstLine="480"/>
              <w:jc w:val="center"/>
              <w:rPr>
                <w:rFonts w:cs="仿宋" w:asciiTheme="minorEastAsia" w:hAnsiTheme="minorEastAsia" w:eastAsiaTheme="minorEastAsia"/>
                <w:color w:val="000000" w:themeColor="text1"/>
                <w:szCs w:val="21"/>
              </w:rPr>
            </w:pPr>
          </w:p>
        </w:tc>
        <w:tc>
          <w:tcPr>
            <w:tcW w:w="1390"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2500</w:t>
            </w:r>
          </w:p>
        </w:tc>
        <w:tc>
          <w:tcPr>
            <w:tcW w:w="1419"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100</w:t>
            </w:r>
          </w:p>
        </w:tc>
        <w:tc>
          <w:tcPr>
            <w:tcW w:w="1305" w:type="dxa"/>
          </w:tcPr>
          <w:p>
            <w:pPr>
              <w:spacing w:line="360" w:lineRule="auto"/>
              <w:ind w:right="-82" w:rightChars="-39" w:firstLine="480"/>
              <w:rPr>
                <w:rFonts w:cs="仿宋" w:asciiTheme="minorEastAsia" w:hAnsiTheme="minorEastAsia" w:eastAsiaTheme="minorEastAsia"/>
                <w:color w:val="000000" w:themeColor="text1"/>
                <w:szCs w:val="21"/>
              </w:rPr>
            </w:pPr>
          </w:p>
        </w:tc>
      </w:tr>
    </w:tbl>
    <w:p>
      <w:pPr>
        <w:spacing w:line="360" w:lineRule="auto"/>
        <w:ind w:right="-82" w:rightChars="-39"/>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说明：1.在上表中已加上军训、社会实践、入学教育、毕业教育及选修课课时。</w:t>
      </w:r>
    </w:p>
    <w:p>
      <w:pPr>
        <w:spacing w:line="360" w:lineRule="auto"/>
        <w:ind w:right="-82" w:rightChars="-39"/>
        <w:outlineLvl w:val="1"/>
        <w:rPr>
          <w:rFonts w:cs="仿宋" w:asciiTheme="minorEastAsia" w:hAnsiTheme="minorEastAsia" w:eastAsiaTheme="minorEastAsia"/>
          <w:b/>
          <w:bCs/>
          <w:color w:val="000000" w:themeColor="text1"/>
          <w:szCs w:val="21"/>
        </w:rPr>
      </w:pPr>
      <w:bookmarkStart w:id="44" w:name="_Toc8417"/>
      <w:bookmarkStart w:id="45" w:name="_Toc14217"/>
      <w:r>
        <w:rPr>
          <w:rFonts w:hint="eastAsia" w:cs="仿宋" w:asciiTheme="minorEastAsia" w:hAnsiTheme="minorEastAsia" w:eastAsiaTheme="minorEastAsia"/>
          <w:b/>
          <w:bCs/>
          <w:color w:val="000000" w:themeColor="text1"/>
          <w:szCs w:val="21"/>
        </w:rPr>
        <w:t>（五）本专业学时实际安排说明</w:t>
      </w:r>
      <w:bookmarkEnd w:id="44"/>
      <w:bookmarkEnd w:id="45"/>
    </w:p>
    <w:p>
      <w:pPr>
        <w:pStyle w:val="14"/>
        <w:shd w:val="clear" w:color="auto" w:fill="FFFFFF"/>
        <w:spacing w:before="0" w:beforeAutospacing="0" w:after="0" w:afterAutospacing="0" w:line="360" w:lineRule="auto"/>
        <w:ind w:firstLine="525" w:firstLineChars="250"/>
        <w:rPr>
          <w:rFonts w:hint="default" w:cs="仿宋" w:asciiTheme="minorEastAsia" w:hAnsiTheme="minorEastAsia" w:eastAsiaTheme="minorEastAsia"/>
          <w:color w:val="000000" w:themeColor="text1"/>
          <w:sz w:val="21"/>
          <w:szCs w:val="21"/>
        </w:rPr>
      </w:pPr>
      <w:r>
        <w:rPr>
          <w:rFonts w:cs="仿宋" w:asciiTheme="minorEastAsia" w:hAnsiTheme="minorEastAsia" w:eastAsiaTheme="minorEastAsia"/>
          <w:color w:val="000000" w:themeColor="text1"/>
          <w:sz w:val="21"/>
          <w:szCs w:val="21"/>
        </w:rPr>
        <w:t>1.学年教学时间按每学期20周计算。三年总共为2500学时。（顶岗实习按每周26学时15周计算，合计390学时）</w:t>
      </w:r>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rPr>
      </w:pPr>
      <w:r>
        <w:rPr>
          <w:rFonts w:cs="仿宋" w:asciiTheme="minorEastAsia" w:hAnsiTheme="minorEastAsia" w:eastAsiaTheme="minorEastAsia"/>
          <w:color w:val="000000" w:themeColor="text1"/>
          <w:sz w:val="21"/>
          <w:szCs w:val="21"/>
        </w:rPr>
        <w:t>2.学分与学时的换算。16学时计为1个学分，总学分141学分。</w:t>
      </w:r>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rPr>
      </w:pPr>
      <w:r>
        <w:rPr>
          <w:rFonts w:cs="仿宋" w:asciiTheme="minorEastAsia" w:hAnsiTheme="minorEastAsia" w:eastAsiaTheme="minorEastAsia"/>
          <w:color w:val="000000" w:themeColor="text1"/>
          <w:sz w:val="21"/>
          <w:szCs w:val="21"/>
        </w:rPr>
        <w:t>3.公共基础课程796学时，占总学时的（31.8%）。选修课,666课时占教学时数占总学时的26.64%。</w:t>
      </w:r>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rPr>
      </w:pPr>
      <w:r>
        <w:rPr>
          <w:rFonts w:cs="仿宋" w:asciiTheme="minorEastAsia" w:hAnsiTheme="minorEastAsia" w:eastAsiaTheme="minorEastAsia"/>
          <w:color w:val="000000" w:themeColor="text1"/>
          <w:sz w:val="21"/>
          <w:szCs w:val="21"/>
        </w:rPr>
        <w:t>4.考虑的职业教育+互联网的需求，考虑本专业课程从扩招生学情出发，满足学生线上线下、自主学习的需求。</w:t>
      </w:r>
    </w:p>
    <w:p>
      <w:pPr>
        <w:spacing w:line="360" w:lineRule="auto"/>
        <w:ind w:firstLine="413" w:firstLineChars="196"/>
        <w:rPr>
          <w:rFonts w:asciiTheme="minorEastAsia" w:hAnsiTheme="minorEastAsia" w:eastAsiaTheme="minorEastAsia"/>
          <w:b/>
          <w:color w:val="000000" w:themeColor="text1"/>
          <w:szCs w:val="21"/>
        </w:rPr>
      </w:pPr>
      <w:bookmarkStart w:id="46" w:name="_Toc26649"/>
      <w:bookmarkStart w:id="47" w:name="_Toc11457"/>
      <w:r>
        <w:rPr>
          <w:rFonts w:hint="eastAsia" w:asciiTheme="minorEastAsia" w:hAnsiTheme="minorEastAsia" w:eastAsiaTheme="minorEastAsia"/>
          <w:b/>
          <w:color w:val="000000" w:themeColor="text1"/>
          <w:szCs w:val="21"/>
        </w:rPr>
        <w:t>八、实施保障</w:t>
      </w:r>
      <w:bookmarkEnd w:id="46"/>
      <w:bookmarkEnd w:id="47"/>
    </w:p>
    <w:p>
      <w:pPr>
        <w:pStyle w:val="14"/>
        <w:shd w:val="clear" w:color="auto" w:fill="FFFFFF"/>
        <w:spacing w:before="0" w:beforeAutospacing="0" w:after="0" w:afterAutospacing="0" w:line="360" w:lineRule="auto"/>
        <w:ind w:firstLine="567"/>
        <w:rPr>
          <w:rFonts w:hint="default" w:cs="仿宋" w:asciiTheme="minorEastAsia" w:hAnsiTheme="minorEastAsia" w:eastAsiaTheme="minorEastAsia"/>
          <w:color w:val="000000" w:themeColor="text1"/>
          <w:sz w:val="21"/>
          <w:szCs w:val="21"/>
        </w:rPr>
      </w:pPr>
      <w:r>
        <w:rPr>
          <w:rFonts w:cs="仿宋" w:asciiTheme="minorEastAsia" w:hAnsiTheme="minorEastAsia" w:eastAsiaTheme="minorEastAsia"/>
          <w:color w:val="000000" w:themeColor="text1"/>
          <w:sz w:val="21"/>
          <w:szCs w:val="21"/>
        </w:rPr>
        <w:t>实施保障在教书育人、管理育人、服务育人等多方协同，形成全育人新格局，促进全员、全过程、全方位的“三全”育人机制的落实，为持续提高人才培养质量提供了政策引导和制度保障。</w:t>
      </w:r>
    </w:p>
    <w:p>
      <w:pPr>
        <w:widowControl/>
        <w:shd w:val="clear" w:color="auto" w:fill="FFFFFF"/>
        <w:spacing w:line="360" w:lineRule="auto"/>
        <w:ind w:firstLine="310" w:firstLineChars="147"/>
        <w:outlineLvl w:val="1"/>
        <w:rPr>
          <w:rFonts w:cs="仿宋" w:asciiTheme="minorEastAsia" w:hAnsiTheme="minorEastAsia" w:eastAsiaTheme="minorEastAsia"/>
          <w:b/>
          <w:color w:val="000000" w:themeColor="text1"/>
          <w:szCs w:val="21"/>
        </w:rPr>
      </w:pPr>
      <w:bookmarkStart w:id="48" w:name="_Toc18202"/>
      <w:bookmarkStart w:id="49" w:name="_Toc9036"/>
      <w:r>
        <w:rPr>
          <w:rFonts w:hint="eastAsia" w:cs="仿宋" w:asciiTheme="minorEastAsia" w:hAnsiTheme="minorEastAsia" w:eastAsiaTheme="minorEastAsia"/>
          <w:b/>
          <w:color w:val="000000" w:themeColor="text1"/>
          <w:szCs w:val="21"/>
        </w:rPr>
        <w:t>（一）师资队伍。</w:t>
      </w:r>
      <w:bookmarkEnd w:id="48"/>
      <w:bookmarkEnd w:id="49"/>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高素质的师资队伍是本专业人才培养质量的基本保障。本专业要建立一支学养深厚、人文精神丰富、具有家国情怀的师资队伍。每位教师要通过自己的人品、学养、技能、胸襟、气质等潜移默化地影响学生。本专业要组建由学校教师与行业企业专家组成的专门教学团队。</w:t>
      </w:r>
    </w:p>
    <w:p>
      <w:pPr>
        <w:spacing w:line="360" w:lineRule="auto"/>
        <w:ind w:firstLine="420" w:firstLineChars="200"/>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表14、本专业教学团队一览表</w:t>
      </w:r>
    </w:p>
    <w:tbl>
      <w:tblPr>
        <w:tblStyle w:val="19"/>
        <w:tblW w:w="13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4536"/>
        <w:gridCol w:w="1276"/>
        <w:gridCol w:w="5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 w:hRule="atLeast"/>
        </w:trPr>
        <w:tc>
          <w:tcPr>
            <w:tcW w:w="1951"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教师结构</w:t>
            </w:r>
          </w:p>
        </w:tc>
        <w:tc>
          <w:tcPr>
            <w:tcW w:w="4536"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教师选用标准</w:t>
            </w:r>
          </w:p>
        </w:tc>
        <w:tc>
          <w:tcPr>
            <w:tcW w:w="1276"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姓名</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所在单位及专业技术职务（本院教师填写所在系部）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1951" w:type="dxa"/>
            <w:vMerge w:val="restart"/>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本院教师</w:t>
            </w:r>
          </w:p>
        </w:tc>
        <w:tc>
          <w:tcPr>
            <w:tcW w:w="4536" w:type="dxa"/>
            <w:vMerge w:val="restart"/>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高校教师资格证，丰富教学经验</w:t>
            </w: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赵瑞婷</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解云霞</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薛丽萍</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冀文卿</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崔淑琳</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张  敏</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ind w:firstLine="105" w:firstLineChars="50"/>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褚福慧</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951" w:type="dxa"/>
            <w:vMerge w:val="restart"/>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行业企业专家</w:t>
            </w:r>
          </w:p>
        </w:tc>
        <w:tc>
          <w:tcPr>
            <w:tcW w:w="4536" w:type="dxa"/>
            <w:vMerge w:val="restart"/>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中级以上职业技术职务，有相关教学经验</w:t>
            </w: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遆李娟</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szCs w:val="21"/>
              </w:rPr>
              <w:t>临汾市公积金管理中心</w:t>
            </w:r>
            <w:r>
              <w:rPr>
                <w:rFonts w:hint="eastAsia" w:cs="仿宋" w:asciiTheme="minorEastAsia" w:hAnsiTheme="minorEastAsia" w:eastAsiaTheme="minorEastAsia"/>
                <w:color w:val="000000" w:themeColor="text1"/>
                <w:szCs w:val="21"/>
              </w:rPr>
              <w:t>财务科科长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王  群</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临汾钢铁集团会计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郭   薇</w:t>
            </w:r>
          </w:p>
        </w:tc>
        <w:tc>
          <w:tcPr>
            <w:tcW w:w="5673"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临汾城市投资公司会计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薛晓丽</w:t>
            </w:r>
          </w:p>
        </w:tc>
        <w:tc>
          <w:tcPr>
            <w:tcW w:w="5673"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临汾解放汽车销售公司会计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1951" w:type="dxa"/>
            <w:vMerge w:val="restart"/>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企业能工巧匠</w:t>
            </w:r>
          </w:p>
        </w:tc>
        <w:tc>
          <w:tcPr>
            <w:tcW w:w="4536" w:type="dxa"/>
            <w:vMerge w:val="restart"/>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高级工职业资格证书，有相关教学经验</w:t>
            </w:r>
          </w:p>
        </w:tc>
        <w:tc>
          <w:tcPr>
            <w:tcW w:w="1276"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szCs w:val="21"/>
              </w:rPr>
              <w:t>王  莉</w:t>
            </w:r>
          </w:p>
        </w:tc>
        <w:tc>
          <w:tcPr>
            <w:tcW w:w="5673"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临汾市地震局会计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szCs w:val="21"/>
              </w:rPr>
              <w:t>郝彦芳</w:t>
            </w:r>
          </w:p>
        </w:tc>
        <w:tc>
          <w:tcPr>
            <w:tcW w:w="5673"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临汾正达信会计事务所会计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师继玲</w:t>
            </w:r>
          </w:p>
        </w:tc>
        <w:tc>
          <w:tcPr>
            <w:tcW w:w="5673"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临汾正达信会计事务所会计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951" w:type="dxa"/>
            <w:vMerge w:val="restart"/>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兼课教师</w:t>
            </w:r>
          </w:p>
        </w:tc>
        <w:tc>
          <w:tcPr>
            <w:tcW w:w="4536" w:type="dxa"/>
            <w:vMerge w:val="restart"/>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高校教师资格证，丰富教学经验</w:t>
            </w: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郑建忠</w:t>
            </w:r>
          </w:p>
        </w:tc>
        <w:tc>
          <w:tcPr>
            <w:tcW w:w="5673"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计财处会计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951"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4536" w:type="dxa"/>
            <w:vMerge w:val="continue"/>
            <w:vAlign w:val="center"/>
          </w:tcPr>
          <w:p>
            <w:pPr>
              <w:spacing w:line="360" w:lineRule="auto"/>
              <w:jc w:val="center"/>
              <w:rPr>
                <w:rFonts w:cs="仿宋" w:asciiTheme="minorEastAsia" w:hAnsiTheme="minorEastAsia" w:eastAsiaTheme="minorEastAsia"/>
                <w:color w:val="000000" w:themeColor="text1"/>
                <w:szCs w:val="21"/>
              </w:rPr>
            </w:pPr>
          </w:p>
        </w:tc>
        <w:tc>
          <w:tcPr>
            <w:tcW w:w="1276"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郑州航</w:t>
            </w:r>
          </w:p>
        </w:tc>
        <w:tc>
          <w:tcPr>
            <w:tcW w:w="5673" w:type="dxa"/>
            <w:vAlign w:val="center"/>
          </w:tcPr>
          <w:p>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计财处出纳</w:t>
            </w:r>
          </w:p>
        </w:tc>
      </w:tr>
    </w:tbl>
    <w:p>
      <w:pPr>
        <w:adjustRightInd w:val="0"/>
        <w:spacing w:line="360" w:lineRule="auto"/>
        <w:outlineLvl w:val="1"/>
        <w:rPr>
          <w:rFonts w:cs="仿宋" w:asciiTheme="minorEastAsia" w:hAnsiTheme="minorEastAsia" w:eastAsiaTheme="minorEastAsia"/>
          <w:b/>
          <w:color w:val="000000" w:themeColor="text1"/>
          <w:szCs w:val="21"/>
        </w:rPr>
      </w:pPr>
      <w:bookmarkStart w:id="50" w:name="_Toc13324"/>
      <w:bookmarkStart w:id="51" w:name="_Toc5316"/>
      <w:r>
        <w:rPr>
          <w:rFonts w:hint="eastAsia" w:cs="仿宋" w:asciiTheme="minorEastAsia" w:hAnsiTheme="minorEastAsia" w:eastAsiaTheme="minorEastAsia"/>
          <w:b/>
          <w:color w:val="000000" w:themeColor="text1"/>
          <w:szCs w:val="21"/>
        </w:rPr>
        <w:t>（二）教学设施保障</w:t>
      </w:r>
      <w:bookmarkEnd w:id="50"/>
      <w:bookmarkEnd w:id="51"/>
    </w:p>
    <w:p>
      <w:pPr>
        <w:pStyle w:val="37"/>
        <w:ind w:right="-82" w:rightChars="-39" w:firstLine="420"/>
        <w:outlineLvl w:val="2"/>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1.校内实训室</w:t>
      </w:r>
    </w:p>
    <w:p>
      <w:pPr>
        <w:spacing w:line="360" w:lineRule="auto"/>
        <w:ind w:right="-82" w:rightChars="-39" w:firstLine="48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校内实训室是实训教学场所，是实训教学的基本保障，是职业教育最重要的教学平台，是配合理论教学而设置的为锻炼学生动手实践能力、培养学生职业素养而提供的基本硬件，包括实训场所、实训现场环境、设备器材、实训教学指导人员、实训教学方案、实训指导文件等。所有实训都是在可控制的状态下，按照人才培养规律和培养目标，对学生进行职业技能训练的过程。</w:t>
      </w:r>
    </w:p>
    <w:p>
      <w:pPr>
        <w:tabs>
          <w:tab w:val="left" w:pos="5540"/>
          <w:tab w:val="center" w:pos="6979"/>
        </w:tabs>
        <w:spacing w:afterLines="50" w:line="360" w:lineRule="auto"/>
        <w:jc w:val="center"/>
        <w:rPr>
          <w:rFonts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表15-1、</w:t>
      </w:r>
      <w:r>
        <w:rPr>
          <w:rFonts w:hint="eastAsia" w:asciiTheme="minorEastAsia" w:hAnsiTheme="minorEastAsia" w:eastAsiaTheme="minorEastAsia" w:cstheme="majorEastAsia"/>
          <w:b/>
          <w:bCs/>
          <w:color w:val="000000" w:themeColor="text1"/>
          <w:szCs w:val="21"/>
        </w:rPr>
        <w:t>财会系手工仿真模拟实训室（综合楼710）实训室</w:t>
      </w:r>
    </w:p>
    <w:tbl>
      <w:tblPr>
        <w:tblStyle w:val="18"/>
        <w:tblW w:w="142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445"/>
        <w:gridCol w:w="1821"/>
        <w:gridCol w:w="1052"/>
        <w:gridCol w:w="1020"/>
        <w:gridCol w:w="1395"/>
        <w:gridCol w:w="1365"/>
        <w:gridCol w:w="3719"/>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jc w:val="center"/>
        </w:trPr>
        <w:tc>
          <w:tcPr>
            <w:tcW w:w="67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序号</w:t>
            </w:r>
          </w:p>
        </w:tc>
        <w:tc>
          <w:tcPr>
            <w:tcW w:w="1445" w:type="dxa"/>
            <w:vAlign w:val="center"/>
          </w:tcPr>
          <w:p>
            <w:pPr>
              <w:spacing w:line="360" w:lineRule="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 xml:space="preserve">  设备名称</w:t>
            </w:r>
          </w:p>
        </w:tc>
        <w:tc>
          <w:tcPr>
            <w:tcW w:w="1821"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品牌型号</w:t>
            </w:r>
          </w:p>
        </w:tc>
        <w:tc>
          <w:tcPr>
            <w:tcW w:w="1052"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单价（元）</w:t>
            </w:r>
          </w:p>
        </w:tc>
        <w:tc>
          <w:tcPr>
            <w:tcW w:w="1020"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数量</w:t>
            </w:r>
          </w:p>
        </w:tc>
        <w:tc>
          <w:tcPr>
            <w:tcW w:w="1395" w:type="dxa"/>
            <w:vAlign w:val="center"/>
          </w:tcPr>
          <w:p>
            <w:pPr>
              <w:widowControl/>
              <w:adjustRightInd w:val="0"/>
              <w:snapToGrid w:val="0"/>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w:t>
            </w:r>
          </w:p>
          <w:p>
            <w:pPr>
              <w:widowControl/>
              <w:adjustRightInd w:val="0"/>
              <w:snapToGrid w:val="0"/>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价值</w:t>
            </w:r>
          </w:p>
        </w:tc>
        <w:tc>
          <w:tcPr>
            <w:tcW w:w="136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实训课程</w:t>
            </w:r>
          </w:p>
        </w:tc>
        <w:tc>
          <w:tcPr>
            <w:tcW w:w="3719"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实训室功能及实训项目</w:t>
            </w:r>
          </w:p>
        </w:tc>
        <w:tc>
          <w:tcPr>
            <w:tcW w:w="1727"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678" w:type="dxa"/>
            <w:vMerge w:val="restart"/>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445" w:type="dxa"/>
            <w:vMerge w:val="restart"/>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手工实训操作平台配塑料凳</w:t>
            </w:r>
          </w:p>
        </w:tc>
        <w:tc>
          <w:tcPr>
            <w:tcW w:w="1821" w:type="dxa"/>
            <w:vMerge w:val="restart"/>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两边座,每桌六座,铝合金框架结构25mm厚8张，3人座桌子3张</w:t>
            </w:r>
          </w:p>
        </w:tc>
        <w:tc>
          <w:tcPr>
            <w:tcW w:w="1052"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2800</w:t>
            </w:r>
          </w:p>
        </w:tc>
        <w:tc>
          <w:tcPr>
            <w:tcW w:w="102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395" w:type="dxa"/>
            <w:vMerge w:val="restart"/>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1365" w:type="dxa"/>
            <w:vMerge w:val="restart"/>
            <w:vAlign w:val="center"/>
          </w:tcPr>
          <w:p>
            <w:pPr>
              <w:widowControl/>
              <w:numPr>
                <w:ilvl w:val="0"/>
                <w:numId w:val="2"/>
              </w:numPr>
              <w:adjustRightInd w:val="0"/>
              <w:snapToGrid w:val="0"/>
              <w:spacing w:line="360" w:lineRule="auto"/>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会计手工实训</w:t>
            </w:r>
          </w:p>
          <w:p>
            <w:pPr>
              <w:widowControl/>
              <w:numPr>
                <w:ilvl w:val="0"/>
                <w:numId w:val="2"/>
              </w:numPr>
              <w:adjustRightInd w:val="0"/>
              <w:snapToGrid w:val="0"/>
              <w:spacing w:line="360" w:lineRule="auto"/>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会计手工综合仿真实训</w:t>
            </w:r>
          </w:p>
          <w:p>
            <w:pPr>
              <w:widowControl/>
              <w:numPr>
                <w:ilvl w:val="0"/>
                <w:numId w:val="2"/>
              </w:numPr>
              <w:adjustRightInd w:val="0"/>
              <w:snapToGrid w:val="0"/>
              <w:spacing w:line="360" w:lineRule="auto"/>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成本会计实训</w:t>
            </w:r>
          </w:p>
          <w:p>
            <w:pPr>
              <w:spacing w:line="360" w:lineRule="auto"/>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4.点钞技能训练</w:t>
            </w:r>
          </w:p>
          <w:p>
            <w:pPr>
              <w:spacing w:line="360" w:lineRule="auto"/>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5.计算器翻打传票</w:t>
            </w:r>
          </w:p>
          <w:p>
            <w:pPr>
              <w:widowControl/>
              <w:adjustRightInd w:val="0"/>
              <w:snapToGrid w:val="0"/>
              <w:spacing w:line="360" w:lineRule="auto"/>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6.数字录入</w:t>
            </w:r>
          </w:p>
        </w:tc>
        <w:tc>
          <w:tcPr>
            <w:tcW w:w="3719" w:type="dxa"/>
            <w:vMerge w:val="restart"/>
            <w:vAlign w:val="center"/>
          </w:tcPr>
          <w:p>
            <w:pPr>
              <w:spacing w:line="360" w:lineRule="auto"/>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实训室功能：</w:t>
            </w:r>
          </w:p>
          <w:p>
            <w:pPr>
              <w:spacing w:line="360" w:lineRule="auto"/>
              <w:ind w:firstLine="48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本实训室主要服务于会计专业、财务管理专业学生对会计职业的认知与会计基本技能的训练，主要目的是训练学生的动手操作能力，是在校期间学习其他岗位能力核心课的基础。本实训室主要承担《会计职业基础实训》、《会计手工综合仿真实训》、《成本会计实训》、《会计分岗实训》会计课程的实训教学任务，由代课教师根据教学进度需要安排理实一体教学或仿真模拟实训，体现我系财经专业“教、学、做”一体化的教学模式。</w:t>
            </w:r>
          </w:p>
          <w:p>
            <w:pPr>
              <w:spacing w:line="360" w:lineRule="auto"/>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实训项目：</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1.会计书写训练实训；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2.点钞捆钞训练实训；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3.会计凭证填写实训；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4.整理与装订实训；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5.银行业务认识实训；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6.工商及税务业务认识实训；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7.会计分岗位业务处理。</w:t>
            </w:r>
          </w:p>
        </w:tc>
        <w:tc>
          <w:tcPr>
            <w:tcW w:w="1727" w:type="dxa"/>
            <w:vMerge w:val="restart"/>
          </w:tcPr>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专业：会计、财务管理、金融管理</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年级：一年级</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jc w:val="center"/>
        </w:trPr>
        <w:tc>
          <w:tcPr>
            <w:tcW w:w="678"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1445" w:type="dxa"/>
            <w:vMerge w:val="continue"/>
            <w:vAlign w:val="center"/>
          </w:tcPr>
          <w:p>
            <w:pPr>
              <w:spacing w:line="360" w:lineRule="auto"/>
              <w:textAlignment w:val="center"/>
              <w:rPr>
                <w:rFonts w:asciiTheme="minorEastAsia" w:hAnsiTheme="minorEastAsia" w:eastAsiaTheme="minorEastAsia" w:cstheme="minorEastAsia"/>
                <w:color w:val="000000" w:themeColor="text1"/>
                <w:szCs w:val="21"/>
              </w:rPr>
            </w:pPr>
          </w:p>
        </w:tc>
        <w:tc>
          <w:tcPr>
            <w:tcW w:w="1821"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052"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1400</w:t>
            </w:r>
          </w:p>
        </w:tc>
        <w:tc>
          <w:tcPr>
            <w:tcW w:w="102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1395"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1365"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3719"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727"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2" w:hRule="atLeast"/>
          <w:jc w:val="center"/>
        </w:trPr>
        <w:tc>
          <w:tcPr>
            <w:tcW w:w="67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445"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伪钞鉴别仪(点钞机)</w:t>
            </w:r>
          </w:p>
        </w:tc>
        <w:tc>
          <w:tcPr>
            <w:tcW w:w="182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WJDFJ03C（智能、计数光检、新版、预置、自动点钞、自动清零）</w:t>
            </w:r>
          </w:p>
        </w:tc>
        <w:tc>
          <w:tcPr>
            <w:tcW w:w="1052"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300</w:t>
            </w:r>
          </w:p>
        </w:tc>
        <w:tc>
          <w:tcPr>
            <w:tcW w:w="102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39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300</w:t>
            </w:r>
          </w:p>
        </w:tc>
        <w:tc>
          <w:tcPr>
            <w:tcW w:w="136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19" w:type="dxa"/>
            <w:vMerge w:val="continue"/>
            <w:vAlign w:val="center"/>
          </w:tcPr>
          <w:p>
            <w:pPr>
              <w:spacing w:line="360" w:lineRule="auto"/>
              <w:jc w:val="center"/>
              <w:rPr>
                <w:rFonts w:asciiTheme="minorEastAsia" w:hAnsiTheme="minorEastAsia" w:eastAsiaTheme="minorEastAsia" w:cstheme="minorEastAsia"/>
                <w:color w:val="000000" w:themeColor="text1"/>
                <w:szCs w:val="21"/>
              </w:rPr>
            </w:pPr>
          </w:p>
        </w:tc>
        <w:tc>
          <w:tcPr>
            <w:tcW w:w="1727"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7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1445" w:type="dxa"/>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教师示教桌</w:t>
            </w:r>
          </w:p>
        </w:tc>
        <w:tc>
          <w:tcPr>
            <w:tcW w:w="182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木质</w:t>
            </w:r>
          </w:p>
        </w:tc>
        <w:tc>
          <w:tcPr>
            <w:tcW w:w="1052"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500</w:t>
            </w:r>
          </w:p>
        </w:tc>
        <w:tc>
          <w:tcPr>
            <w:tcW w:w="102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39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500</w:t>
            </w:r>
          </w:p>
        </w:tc>
        <w:tc>
          <w:tcPr>
            <w:tcW w:w="136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1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727"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67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445" w:type="dxa"/>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折叠式高亮度书写投影仪</w:t>
            </w:r>
          </w:p>
        </w:tc>
        <w:tc>
          <w:tcPr>
            <w:tcW w:w="182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长江TTB</w:t>
            </w:r>
          </w:p>
        </w:tc>
        <w:tc>
          <w:tcPr>
            <w:tcW w:w="1052"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1350</w:t>
            </w:r>
          </w:p>
        </w:tc>
        <w:tc>
          <w:tcPr>
            <w:tcW w:w="102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39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1350</w:t>
            </w:r>
          </w:p>
        </w:tc>
        <w:tc>
          <w:tcPr>
            <w:tcW w:w="136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1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727"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67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445" w:type="dxa"/>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配备教材</w:t>
            </w:r>
          </w:p>
        </w:tc>
        <w:tc>
          <w:tcPr>
            <w:tcW w:w="182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通用</w:t>
            </w:r>
          </w:p>
        </w:tc>
        <w:tc>
          <w:tcPr>
            <w:tcW w:w="1052"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w:t>
            </w:r>
          </w:p>
        </w:tc>
        <w:tc>
          <w:tcPr>
            <w:tcW w:w="102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60</w:t>
            </w:r>
          </w:p>
        </w:tc>
        <w:tc>
          <w:tcPr>
            <w:tcW w:w="139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3000</w:t>
            </w:r>
          </w:p>
        </w:tc>
        <w:tc>
          <w:tcPr>
            <w:tcW w:w="136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1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727"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7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144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装订机</w:t>
            </w:r>
          </w:p>
        </w:tc>
        <w:tc>
          <w:tcPr>
            <w:tcW w:w="182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全钢</w:t>
            </w:r>
          </w:p>
        </w:tc>
        <w:tc>
          <w:tcPr>
            <w:tcW w:w="1052"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140</w:t>
            </w:r>
          </w:p>
        </w:tc>
        <w:tc>
          <w:tcPr>
            <w:tcW w:w="102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39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140</w:t>
            </w:r>
          </w:p>
        </w:tc>
        <w:tc>
          <w:tcPr>
            <w:tcW w:w="136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1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727"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6" w:hRule="atLeast"/>
          <w:jc w:val="center"/>
        </w:trPr>
        <w:tc>
          <w:tcPr>
            <w:tcW w:w="67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1445" w:type="dxa"/>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财会岗位实验材料</w:t>
            </w:r>
          </w:p>
        </w:tc>
        <w:tc>
          <w:tcPr>
            <w:tcW w:w="1821" w:type="dxa"/>
            <w:vAlign w:val="center"/>
          </w:tcPr>
          <w:p>
            <w:pPr>
              <w:spacing w:line="360" w:lineRule="auto"/>
              <w:textAlignment w:val="center"/>
              <w:rPr>
                <w:rFonts w:asciiTheme="minorEastAsia" w:hAnsiTheme="minorEastAsia" w:eastAsiaTheme="minorEastAsia" w:cstheme="minorEastAsia"/>
                <w:b/>
                <w:color w:val="000000" w:themeColor="text1"/>
                <w:szCs w:val="21"/>
              </w:rPr>
            </w:pPr>
          </w:p>
        </w:tc>
        <w:tc>
          <w:tcPr>
            <w:tcW w:w="1052"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25</w:t>
            </w:r>
          </w:p>
        </w:tc>
        <w:tc>
          <w:tcPr>
            <w:tcW w:w="102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60</w:t>
            </w:r>
          </w:p>
        </w:tc>
        <w:tc>
          <w:tcPr>
            <w:tcW w:w="139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w:t>
            </w:r>
          </w:p>
        </w:tc>
        <w:tc>
          <w:tcPr>
            <w:tcW w:w="136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1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727"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6016" w:type="dxa"/>
            <w:gridSpan w:val="5"/>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设备价值合计</w:t>
            </w:r>
          </w:p>
        </w:tc>
        <w:tc>
          <w:tcPr>
            <w:tcW w:w="8206" w:type="dxa"/>
            <w:gridSpan w:val="4"/>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33450</w:t>
            </w:r>
          </w:p>
        </w:tc>
      </w:tr>
    </w:tbl>
    <w:p>
      <w:pPr>
        <w:tabs>
          <w:tab w:val="left" w:pos="5540"/>
          <w:tab w:val="center" w:pos="6979"/>
        </w:tabs>
        <w:spacing w:beforeLines="50" w:afterLines="50" w:line="360" w:lineRule="auto"/>
        <w:rPr>
          <w:rFonts w:asciiTheme="minorEastAsia" w:hAnsiTheme="minorEastAsia" w:eastAsiaTheme="minorEastAsia"/>
          <w:b/>
          <w:color w:val="000000" w:themeColor="text1"/>
          <w:szCs w:val="21"/>
          <w:u w:val="single"/>
        </w:rPr>
      </w:pPr>
    </w:p>
    <w:p>
      <w:pPr>
        <w:tabs>
          <w:tab w:val="left" w:pos="5540"/>
          <w:tab w:val="center" w:pos="6979"/>
        </w:tabs>
        <w:spacing w:afterLines="50" w:line="360" w:lineRule="auto"/>
        <w:jc w:val="center"/>
        <w:rPr>
          <w:rFonts w:asciiTheme="minorEastAsia" w:hAnsiTheme="minorEastAsia" w:eastAsiaTheme="minorEastAsia" w:cstheme="majorEastAsia"/>
          <w:b/>
          <w:bCs/>
          <w:color w:val="000000" w:themeColor="text1"/>
          <w:szCs w:val="21"/>
        </w:rPr>
      </w:pPr>
      <w:r>
        <w:rPr>
          <w:rFonts w:hint="eastAsia" w:cs="仿宋" w:asciiTheme="minorEastAsia" w:hAnsiTheme="minorEastAsia" w:eastAsiaTheme="minorEastAsia"/>
          <w:color w:val="000000" w:themeColor="text1"/>
          <w:szCs w:val="21"/>
        </w:rPr>
        <w:t>表15-2、</w:t>
      </w:r>
      <w:r>
        <w:rPr>
          <w:rFonts w:hint="eastAsia" w:asciiTheme="minorEastAsia" w:hAnsiTheme="minorEastAsia" w:eastAsiaTheme="minorEastAsia" w:cstheme="majorEastAsia"/>
          <w:b/>
          <w:bCs/>
          <w:color w:val="000000" w:themeColor="text1"/>
          <w:szCs w:val="21"/>
        </w:rPr>
        <w:t>财会系手工仿真模拟实训室（实训楼205）实训室</w:t>
      </w:r>
    </w:p>
    <w:tbl>
      <w:tblPr>
        <w:tblStyle w:val="18"/>
        <w:tblW w:w="145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86"/>
        <w:gridCol w:w="2184"/>
        <w:gridCol w:w="930"/>
        <w:gridCol w:w="675"/>
        <w:gridCol w:w="1170"/>
        <w:gridCol w:w="1575"/>
        <w:gridCol w:w="3735"/>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编号</w:t>
            </w:r>
          </w:p>
        </w:tc>
        <w:tc>
          <w:tcPr>
            <w:tcW w:w="1986"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设备名称</w:t>
            </w:r>
          </w:p>
        </w:tc>
        <w:tc>
          <w:tcPr>
            <w:tcW w:w="218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品牌型号</w:t>
            </w:r>
          </w:p>
        </w:tc>
        <w:tc>
          <w:tcPr>
            <w:tcW w:w="930"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单价（元）</w:t>
            </w:r>
          </w:p>
        </w:tc>
        <w:tc>
          <w:tcPr>
            <w:tcW w:w="67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数量</w:t>
            </w:r>
          </w:p>
        </w:tc>
        <w:tc>
          <w:tcPr>
            <w:tcW w:w="1170" w:type="dxa"/>
            <w:vAlign w:val="center"/>
          </w:tcPr>
          <w:p>
            <w:pPr>
              <w:widowControl/>
              <w:adjustRightInd w:val="0"/>
              <w:snapToGrid w:val="0"/>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w:t>
            </w:r>
          </w:p>
          <w:p>
            <w:pPr>
              <w:widowControl/>
              <w:adjustRightInd w:val="0"/>
              <w:snapToGrid w:val="0"/>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价值</w:t>
            </w:r>
          </w:p>
        </w:tc>
        <w:tc>
          <w:tcPr>
            <w:tcW w:w="157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实训课程</w:t>
            </w:r>
          </w:p>
        </w:tc>
        <w:tc>
          <w:tcPr>
            <w:tcW w:w="373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实训室功能及实训项目</w:t>
            </w:r>
          </w:p>
        </w:tc>
        <w:tc>
          <w:tcPr>
            <w:tcW w:w="1661"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986"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业务流程挂图</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彩色布质2米*1.5米</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100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w:t>
            </w:r>
          </w:p>
        </w:tc>
        <w:tc>
          <w:tcPr>
            <w:tcW w:w="1575" w:type="dxa"/>
            <w:vMerge w:val="restart"/>
            <w:vAlign w:val="center"/>
          </w:tcPr>
          <w:p>
            <w:pPr>
              <w:spacing w:line="360" w:lineRule="auto"/>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1.基础会计手工实训</w:t>
            </w:r>
          </w:p>
          <w:p>
            <w:pPr>
              <w:spacing w:line="360" w:lineRule="auto"/>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2.会计手工综合仿真实训</w:t>
            </w:r>
          </w:p>
          <w:p>
            <w:pPr>
              <w:spacing w:line="360" w:lineRule="auto"/>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3.点钞技能训练</w:t>
            </w:r>
          </w:p>
          <w:p>
            <w:pPr>
              <w:spacing w:line="360" w:lineRule="auto"/>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4.计算器翻打传票</w:t>
            </w:r>
          </w:p>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Cs/>
                <w:color w:val="000000" w:themeColor="text1"/>
                <w:szCs w:val="21"/>
              </w:rPr>
              <w:t>5.数字录入</w:t>
            </w:r>
          </w:p>
        </w:tc>
        <w:tc>
          <w:tcPr>
            <w:tcW w:w="3735" w:type="dxa"/>
            <w:vMerge w:val="restart"/>
          </w:tcPr>
          <w:p>
            <w:pPr>
              <w:spacing w:line="360" w:lineRule="auto"/>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实训室功能：</w:t>
            </w:r>
          </w:p>
          <w:p>
            <w:pPr>
              <w:spacing w:line="360" w:lineRule="auto"/>
              <w:ind w:firstLine="48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本实训室主要服务于会计专业、财务管理专业学生对会计职业的认知与会计基本技能的训练，主要目的是训练学生的动手操作能力，是在校期间学习其他岗位能力核心课的基础。本实训室主要承担《会计职业基础实训》、《会计手工综合仿真实训》会计课程的实训教学任务，由代课教师根据教学进度需要安排理实一体教学或仿真模拟实训，体现我系财经专业“教、学、做”一体化的教学模式。</w:t>
            </w:r>
          </w:p>
          <w:p>
            <w:pPr>
              <w:spacing w:line="360" w:lineRule="auto"/>
              <w:ind w:firstLine="480"/>
              <w:rPr>
                <w:rFonts w:asciiTheme="minorEastAsia" w:hAnsiTheme="minorEastAsia" w:eastAsiaTheme="minorEastAsia" w:cstheme="minorEastAsia"/>
                <w:b/>
                <w:bCs/>
                <w:color w:val="000000" w:themeColor="text1"/>
                <w:szCs w:val="21"/>
              </w:rPr>
            </w:pPr>
          </w:p>
          <w:p>
            <w:pPr>
              <w:spacing w:line="360" w:lineRule="auto"/>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实训项目：</w:t>
            </w:r>
          </w:p>
          <w:p>
            <w:pPr>
              <w:widowControl/>
              <w:numPr>
                <w:ilvl w:val="0"/>
                <w:numId w:val="3"/>
              </w:numPr>
              <w:adjustRightInd w:val="0"/>
              <w:snapToGrid w:val="0"/>
              <w:spacing w:line="360" w:lineRule="auto"/>
              <w:ind w:left="0"/>
              <w:textAlignment w:val="center"/>
              <w:rPr>
                <w:rFonts w:asciiTheme="minorEastAsia" w:hAnsiTheme="minorEastAsia" w:eastAsiaTheme="minorEastAsia" w:cstheme="minorEastAsia"/>
                <w:bCs/>
                <w:color w:val="000000" w:themeColor="text1"/>
                <w:szCs w:val="21"/>
              </w:rPr>
            </w:pPr>
            <w:r>
              <w:rPr>
                <w:rFonts w:hint="eastAsia" w:asciiTheme="minorEastAsia" w:hAnsiTheme="minorEastAsia" w:eastAsiaTheme="minorEastAsia" w:cstheme="minorEastAsia"/>
                <w:bCs/>
                <w:color w:val="000000" w:themeColor="text1"/>
                <w:szCs w:val="21"/>
              </w:rPr>
              <w:t>基础会计手工实训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1.会计书写训练实训；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2.点钞捆钞训练实训；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3.会计凭证填写实训；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4.整理与装订实训；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5.银行业务认识实训；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6.工商及税务业务认识实训；</w:t>
            </w:r>
          </w:p>
          <w:p>
            <w:pPr>
              <w:widowControl/>
              <w:adjustRightInd w:val="0"/>
              <w:snapToGrid w:val="0"/>
              <w:spacing w:line="360" w:lineRule="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7.会计分岗位业务处理。</w:t>
            </w:r>
          </w:p>
          <w:p>
            <w:pPr>
              <w:widowControl/>
              <w:adjustRightInd w:val="0"/>
              <w:snapToGrid w:val="0"/>
              <w:spacing w:line="360" w:lineRule="auto"/>
              <w:rPr>
                <w:rFonts w:asciiTheme="minorEastAsia" w:hAnsiTheme="minorEastAsia" w:eastAsiaTheme="minorEastAsia" w:cstheme="minorEastAsia"/>
                <w:bCs/>
                <w:color w:val="000000" w:themeColor="text1"/>
                <w:szCs w:val="21"/>
              </w:rPr>
            </w:pPr>
          </w:p>
          <w:p>
            <w:pPr>
              <w:widowControl/>
              <w:numPr>
                <w:ilvl w:val="0"/>
                <w:numId w:val="3"/>
              </w:numPr>
              <w:adjustRightInd w:val="0"/>
              <w:snapToGrid w:val="0"/>
              <w:spacing w:line="360" w:lineRule="auto"/>
              <w:ind w:left="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bCs/>
                <w:color w:val="000000" w:themeColor="text1"/>
                <w:szCs w:val="21"/>
              </w:rPr>
              <w:t>会计手工综合仿真实训</w:t>
            </w:r>
          </w:p>
          <w:p>
            <w:pPr>
              <w:widowControl/>
              <w:adjustRightInd w:val="0"/>
              <w:snapToGrid w:val="0"/>
              <w:spacing w:line="360" w:lineRule="auto"/>
              <w:rPr>
                <w:rFonts w:asciiTheme="minorEastAsia" w:hAnsiTheme="minorEastAsia" w:eastAsiaTheme="minorEastAsia" w:cstheme="minorEastAsia"/>
                <w:color w:val="000000" w:themeColor="text1"/>
                <w:szCs w:val="21"/>
              </w:rPr>
            </w:pP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1.会计核算制度实训；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2.建账实训；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3.日常业务处理实训；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4.期末事项调整实训；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5.对账与结账实训；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6.会计报表编制与纳税报表填写实训；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7.岗位轮换实训；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8.会计档案整理实训。</w:t>
            </w:r>
          </w:p>
        </w:tc>
        <w:tc>
          <w:tcPr>
            <w:tcW w:w="1661" w:type="dxa"/>
            <w:vMerge w:val="restart"/>
          </w:tcPr>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专业：会计、财务管理、金融管理</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年级：一年级</w:t>
            </w:r>
          </w:p>
          <w:p>
            <w:pPr>
              <w:spacing w:line="360" w:lineRule="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三年级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986"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教师活动转椅</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仿真皮高靠背五脚万向轮气压升降</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300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1986"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双门高立柜</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木质</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800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986"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双门低立柜</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木质</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500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986"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折叠式高亮度书写投影仪</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800*470*700</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1320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1320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1986"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教室内装饰画挂图</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电子</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310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1860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1986"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手工实训操作平台配塑料凳</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两边座,每桌六座,铝合金框架结构25mm厚</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3000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30000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6"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986"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伪钞鉴别仪(点钞机)</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WJDFJ03C（智能、计数光检、新版、预置、自动点钞、自动清零）</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300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w:t>
            </w:r>
          </w:p>
        </w:tc>
        <w:tc>
          <w:tcPr>
            <w:tcW w:w="1986"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国家统一新企业科目章</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塑料</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110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装订机</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全钢</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140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140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《外币图集》</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通用</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100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12</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《人民币知识问答》</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通用</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100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《票据法及支付结算汇编(新版)》</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通用</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100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14</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国家统一新企业科目章</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财政部规定：于2007年1月1日起施行156种科目</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100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财会模拟银行业务受理章</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木质</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50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财会模拟单位财务章</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塑料</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50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17</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日期章</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塑料</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50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双色自动印台</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红、蓝色</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300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19</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多功能笔筒</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塑料</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50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《企业会计核算模拟实务操作》</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通用</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50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w:t>
            </w:r>
          </w:p>
        </w:tc>
        <w:tc>
          <w:tcPr>
            <w:tcW w:w="1575" w:type="dxa"/>
            <w:vMerge w:val="restart"/>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restart"/>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restart"/>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21</w:t>
            </w:r>
          </w:p>
        </w:tc>
        <w:tc>
          <w:tcPr>
            <w:tcW w:w="1986"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会计模拟专用凭证、账册、单据</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通用</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50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22</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银行来往凭证和汇票</w:t>
            </w:r>
          </w:p>
        </w:tc>
        <w:tc>
          <w:tcPr>
            <w:tcW w:w="218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通用</w:t>
            </w:r>
          </w:p>
        </w:tc>
        <w:tc>
          <w:tcPr>
            <w:tcW w:w="930"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20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23</w:t>
            </w:r>
          </w:p>
        </w:tc>
        <w:tc>
          <w:tcPr>
            <w:tcW w:w="198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多媒体设备</w:t>
            </w:r>
          </w:p>
        </w:tc>
        <w:tc>
          <w:tcPr>
            <w:tcW w:w="218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三洋</w:t>
            </w:r>
          </w:p>
        </w:tc>
        <w:tc>
          <w:tcPr>
            <w:tcW w:w="93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1170"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1575"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3735"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1" w:type="dxa"/>
            <w:vMerge w:val="continue"/>
          </w:tcPr>
          <w:p>
            <w:pPr>
              <w:spacing w:line="360" w:lineRule="auto"/>
              <w:jc w:val="center"/>
              <w:rPr>
                <w:rFonts w:asciiTheme="minorEastAsia" w:hAnsiTheme="minorEastAsia" w:eastAsiaTheme="minorEastAsia" w:cstheme="minorEastAsia"/>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20" w:type="dxa"/>
            <w:gridSpan w:val="6"/>
            <w:vAlign w:val="center"/>
          </w:tcPr>
          <w:p>
            <w:pPr>
              <w:spacing w:line="360" w:lineRule="auto"/>
              <w:jc w:val="center"/>
              <w:textAlignment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设备价值合计</w:t>
            </w:r>
          </w:p>
        </w:tc>
        <w:tc>
          <w:tcPr>
            <w:tcW w:w="6971" w:type="dxa"/>
            <w:gridSpan w:val="3"/>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 xml:space="preserve"> 52950</w:t>
            </w:r>
          </w:p>
        </w:tc>
      </w:tr>
    </w:tbl>
    <w:p>
      <w:pPr>
        <w:spacing w:line="360" w:lineRule="auto"/>
        <w:jc w:val="center"/>
        <w:rPr>
          <w:rFonts w:asciiTheme="minorEastAsia" w:hAnsiTheme="minorEastAsia" w:eastAsiaTheme="minorEastAsia"/>
          <w:b/>
          <w:color w:val="000000" w:themeColor="text1"/>
          <w:szCs w:val="21"/>
          <w:u w:val="single"/>
        </w:rPr>
      </w:pPr>
    </w:p>
    <w:p>
      <w:pPr>
        <w:tabs>
          <w:tab w:val="left" w:pos="5540"/>
          <w:tab w:val="center" w:pos="6979"/>
        </w:tabs>
        <w:spacing w:afterLines="50" w:line="360" w:lineRule="auto"/>
        <w:jc w:val="center"/>
        <w:rPr>
          <w:rFonts w:asciiTheme="minorEastAsia" w:hAnsiTheme="minorEastAsia" w:eastAsiaTheme="minorEastAsia" w:cstheme="majorEastAsia"/>
          <w:b/>
          <w:bCs/>
          <w:color w:val="000000" w:themeColor="text1"/>
          <w:szCs w:val="21"/>
        </w:rPr>
      </w:pPr>
      <w:r>
        <w:rPr>
          <w:rFonts w:hint="eastAsia" w:cs="仿宋" w:asciiTheme="minorEastAsia" w:hAnsiTheme="minorEastAsia" w:eastAsiaTheme="minorEastAsia"/>
          <w:color w:val="000000" w:themeColor="text1"/>
          <w:szCs w:val="21"/>
        </w:rPr>
        <w:t>表15-3、</w:t>
      </w:r>
      <w:r>
        <w:rPr>
          <w:rFonts w:hint="eastAsia" w:asciiTheme="minorEastAsia" w:hAnsiTheme="minorEastAsia" w:eastAsiaTheme="minorEastAsia" w:cstheme="majorEastAsia"/>
          <w:b/>
          <w:bCs/>
          <w:color w:val="000000" w:themeColor="text1"/>
          <w:szCs w:val="21"/>
        </w:rPr>
        <w:t>财会系分岗位模拟实训室（综合楼701-703）实训室</w:t>
      </w:r>
    </w:p>
    <w:tbl>
      <w:tblPr>
        <w:tblStyle w:val="18"/>
        <w:tblW w:w="14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635"/>
        <w:gridCol w:w="1635"/>
        <w:gridCol w:w="870"/>
        <w:gridCol w:w="750"/>
        <w:gridCol w:w="960"/>
        <w:gridCol w:w="1755"/>
        <w:gridCol w:w="4388"/>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1"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序号</w:t>
            </w:r>
          </w:p>
        </w:tc>
        <w:tc>
          <w:tcPr>
            <w:tcW w:w="163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设备名称</w:t>
            </w:r>
          </w:p>
        </w:tc>
        <w:tc>
          <w:tcPr>
            <w:tcW w:w="163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品牌型号</w:t>
            </w:r>
          </w:p>
        </w:tc>
        <w:tc>
          <w:tcPr>
            <w:tcW w:w="870"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单价（元）</w:t>
            </w:r>
          </w:p>
        </w:tc>
        <w:tc>
          <w:tcPr>
            <w:tcW w:w="750"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数量</w:t>
            </w:r>
          </w:p>
        </w:tc>
        <w:tc>
          <w:tcPr>
            <w:tcW w:w="960"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w:t>
            </w:r>
          </w:p>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价值</w:t>
            </w:r>
          </w:p>
        </w:tc>
        <w:tc>
          <w:tcPr>
            <w:tcW w:w="175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实训课程</w:t>
            </w:r>
          </w:p>
        </w:tc>
        <w:tc>
          <w:tcPr>
            <w:tcW w:w="438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实训室功能及实训项目</w:t>
            </w:r>
          </w:p>
        </w:tc>
        <w:tc>
          <w:tcPr>
            <w:tcW w:w="1552"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专业面向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1</w:t>
            </w:r>
          </w:p>
        </w:tc>
        <w:tc>
          <w:tcPr>
            <w:tcW w:w="1635"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网中网会计教学软件</w:t>
            </w:r>
          </w:p>
        </w:tc>
        <w:tc>
          <w:tcPr>
            <w:tcW w:w="1635"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分岗位会计软件</w:t>
            </w:r>
          </w:p>
        </w:tc>
        <w:tc>
          <w:tcPr>
            <w:tcW w:w="870" w:type="dxa"/>
            <w:vAlign w:val="center"/>
          </w:tcPr>
          <w:p>
            <w:pPr>
              <w:spacing w:line="360" w:lineRule="auto"/>
              <w:jc w:val="right"/>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48000</w:t>
            </w:r>
          </w:p>
        </w:tc>
        <w:tc>
          <w:tcPr>
            <w:tcW w:w="75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60" w:type="dxa"/>
            <w:vAlign w:val="center"/>
          </w:tcPr>
          <w:p>
            <w:pPr>
              <w:spacing w:line="360" w:lineRule="auto"/>
              <w:jc w:val="right"/>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48000</w:t>
            </w:r>
          </w:p>
        </w:tc>
        <w:tc>
          <w:tcPr>
            <w:tcW w:w="1755" w:type="dxa"/>
            <w:vMerge w:val="restart"/>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会计分岗位</w:t>
            </w:r>
          </w:p>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w:t>
            </w:r>
          </w:p>
        </w:tc>
        <w:tc>
          <w:tcPr>
            <w:tcW w:w="4388" w:type="dxa"/>
            <w:vMerge w:val="restart"/>
          </w:tcPr>
          <w:p>
            <w:pPr>
              <w:spacing w:line="360" w:lineRule="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w:t>
            </w:r>
          </w:p>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本实训室安装有厦门网中网会计分岗实训软件，主要承担会计专业、财务管理专业、资产评估与管理专业会计分岗位业务实训的教学任务。实训室软件模拟真实会计工作环境，按会计主管岗位、出纳岗位、总账会计岗位、往来会计岗位、成本会计岗位等设置。使学生了解并熟悉不同会计岗位规范的要求与会计岗位工作程序，掌握按照工作流程与岗位规范要求进行凭证处理、账簿登记、财产清查、成本计算、报表编制、财务分析等会计工作。</w:t>
            </w:r>
          </w:p>
          <w:p>
            <w:pPr>
              <w:spacing w:line="360" w:lineRule="auto"/>
              <w:ind w:firstLine="480"/>
              <w:rPr>
                <w:rFonts w:asciiTheme="minorEastAsia" w:hAnsiTheme="minorEastAsia" w:eastAsiaTheme="minorEastAsia" w:cstheme="minorEastAsia"/>
                <w:b/>
                <w:color w:val="000000" w:themeColor="text1"/>
                <w:szCs w:val="21"/>
              </w:rPr>
            </w:pPr>
          </w:p>
          <w:p>
            <w:pPr>
              <w:spacing w:line="360" w:lineRule="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实训项目：</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1.会计主管岗位账务处理实训；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2.出纳岗位账务处理实训；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3.总账会计岗位账务处理实训；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4.往来会计岗位账务处理实训；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5.成本会计岗位账务处理实训；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6.新开办企业办理纳税登记实训；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7.模拟各企业每月办理纳税申报实训；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8.模拟企业税务变更、撤销等相关业务实训。</w:t>
            </w:r>
          </w:p>
        </w:tc>
        <w:tc>
          <w:tcPr>
            <w:tcW w:w="1552" w:type="dxa"/>
            <w:vMerge w:val="restart"/>
          </w:tcPr>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专业：会计、财务管理、金融管理</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年级：二年级</w:t>
            </w:r>
          </w:p>
          <w:p>
            <w:pPr>
              <w:spacing w:line="360" w:lineRule="auto"/>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2</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计算机</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组装机</w:t>
            </w:r>
          </w:p>
        </w:tc>
        <w:tc>
          <w:tcPr>
            <w:tcW w:w="87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3300</w:t>
            </w:r>
          </w:p>
        </w:tc>
        <w:tc>
          <w:tcPr>
            <w:tcW w:w="75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40</w:t>
            </w:r>
          </w:p>
        </w:tc>
        <w:tc>
          <w:tcPr>
            <w:tcW w:w="96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132000</w:t>
            </w:r>
          </w:p>
        </w:tc>
        <w:tc>
          <w:tcPr>
            <w:tcW w:w="1755"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388"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55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3</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计算机</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组装机</w:t>
            </w:r>
          </w:p>
        </w:tc>
        <w:tc>
          <w:tcPr>
            <w:tcW w:w="87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3360</w:t>
            </w:r>
          </w:p>
        </w:tc>
        <w:tc>
          <w:tcPr>
            <w:tcW w:w="75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14</w:t>
            </w:r>
          </w:p>
        </w:tc>
        <w:tc>
          <w:tcPr>
            <w:tcW w:w="96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47040</w:t>
            </w:r>
          </w:p>
        </w:tc>
        <w:tc>
          <w:tcPr>
            <w:tcW w:w="1755"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388"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55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4</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电脑桌</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两人联桌</w:t>
            </w:r>
          </w:p>
        </w:tc>
        <w:tc>
          <w:tcPr>
            <w:tcW w:w="87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300</w:t>
            </w:r>
          </w:p>
        </w:tc>
        <w:tc>
          <w:tcPr>
            <w:tcW w:w="75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27</w:t>
            </w:r>
          </w:p>
        </w:tc>
        <w:tc>
          <w:tcPr>
            <w:tcW w:w="960" w:type="dxa"/>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8100</w:t>
            </w:r>
          </w:p>
        </w:tc>
        <w:tc>
          <w:tcPr>
            <w:tcW w:w="1755"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388"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55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5</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中兴ZXR10RS—5928—AC</w:t>
            </w:r>
          </w:p>
        </w:tc>
        <w:tc>
          <w:tcPr>
            <w:tcW w:w="87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75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6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1755"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388"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55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6</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中兴ZXR10RS—5952—AC</w:t>
            </w:r>
          </w:p>
        </w:tc>
        <w:tc>
          <w:tcPr>
            <w:tcW w:w="87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75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6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1755"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388"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55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7</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网络机柜</w:t>
            </w:r>
          </w:p>
        </w:tc>
        <w:tc>
          <w:tcPr>
            <w:tcW w:w="1635" w:type="dxa"/>
            <w:vAlign w:val="center"/>
          </w:tcPr>
          <w:p>
            <w:pPr>
              <w:spacing w:line="360" w:lineRule="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仿威龙1.8M，600*600</w:t>
            </w:r>
          </w:p>
        </w:tc>
        <w:tc>
          <w:tcPr>
            <w:tcW w:w="87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75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6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1755"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388"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55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1" w:type="dxa"/>
            <w:vAlign w:val="center"/>
          </w:tcPr>
          <w:p>
            <w:pPr>
              <w:spacing w:line="360" w:lineRule="auto"/>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8</w:t>
            </w:r>
          </w:p>
        </w:tc>
        <w:tc>
          <w:tcPr>
            <w:tcW w:w="1635" w:type="dxa"/>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多媒体设备</w:t>
            </w:r>
          </w:p>
        </w:tc>
        <w:tc>
          <w:tcPr>
            <w:tcW w:w="1635" w:type="dxa"/>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三洋</w:t>
            </w:r>
          </w:p>
        </w:tc>
        <w:tc>
          <w:tcPr>
            <w:tcW w:w="87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75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60" w:type="dxa"/>
            <w:vAlign w:val="center"/>
          </w:tcPr>
          <w:p>
            <w:pPr>
              <w:spacing w:line="360" w:lineRule="auto"/>
              <w:jc w:val="righ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1755"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388"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55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481" w:type="dxa"/>
            <w:gridSpan w:val="6"/>
            <w:vAlign w:val="center"/>
          </w:tcPr>
          <w:p>
            <w:pPr>
              <w:spacing w:line="360" w:lineRule="auto"/>
              <w:jc w:val="center"/>
              <w:textAlignment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设备价值合计</w:t>
            </w:r>
          </w:p>
        </w:tc>
        <w:tc>
          <w:tcPr>
            <w:tcW w:w="7695" w:type="dxa"/>
            <w:gridSpan w:val="3"/>
            <w:vAlign w:val="center"/>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295740</w:t>
            </w:r>
          </w:p>
        </w:tc>
      </w:tr>
    </w:tbl>
    <w:p>
      <w:pPr>
        <w:spacing w:line="360" w:lineRule="auto"/>
        <w:rPr>
          <w:rFonts w:asciiTheme="minorEastAsia" w:hAnsiTheme="minorEastAsia" w:eastAsiaTheme="minorEastAsia" w:cstheme="minorEastAsia"/>
          <w:b/>
          <w:color w:val="000000" w:themeColor="text1"/>
          <w:szCs w:val="21"/>
          <w:u w:val="single"/>
        </w:rPr>
      </w:pPr>
    </w:p>
    <w:p>
      <w:pPr>
        <w:tabs>
          <w:tab w:val="left" w:pos="5540"/>
          <w:tab w:val="center" w:pos="6979"/>
        </w:tabs>
        <w:spacing w:afterLines="50" w:line="360" w:lineRule="auto"/>
        <w:jc w:val="center"/>
        <w:rPr>
          <w:rFonts w:asciiTheme="minorEastAsia" w:hAnsiTheme="minorEastAsia" w:eastAsiaTheme="minorEastAsia" w:cstheme="majorEastAsia"/>
          <w:b/>
          <w:bCs/>
          <w:color w:val="000000" w:themeColor="text1"/>
          <w:szCs w:val="21"/>
        </w:rPr>
      </w:pPr>
      <w:r>
        <w:rPr>
          <w:rFonts w:hint="eastAsia" w:cs="仿宋" w:asciiTheme="minorEastAsia" w:hAnsiTheme="minorEastAsia" w:eastAsiaTheme="minorEastAsia"/>
          <w:color w:val="000000" w:themeColor="text1"/>
          <w:szCs w:val="21"/>
        </w:rPr>
        <w:t>表15-4、</w:t>
      </w:r>
      <w:r>
        <w:rPr>
          <w:rFonts w:hint="eastAsia" w:asciiTheme="minorEastAsia" w:hAnsiTheme="minorEastAsia" w:eastAsiaTheme="minorEastAsia" w:cstheme="majorEastAsia"/>
          <w:b/>
          <w:bCs/>
          <w:color w:val="000000" w:themeColor="text1"/>
          <w:szCs w:val="21"/>
        </w:rPr>
        <w:t>财会系财税一体化实训室（综合楼801-803）实训室</w:t>
      </w:r>
    </w:p>
    <w:tbl>
      <w:tblPr>
        <w:tblStyle w:val="18"/>
        <w:tblW w:w="142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608"/>
        <w:gridCol w:w="1653"/>
        <w:gridCol w:w="887"/>
        <w:gridCol w:w="706"/>
        <w:gridCol w:w="994"/>
        <w:gridCol w:w="1744"/>
        <w:gridCol w:w="4299"/>
        <w:gridCol w:w="1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67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序号</w:t>
            </w:r>
          </w:p>
        </w:tc>
        <w:tc>
          <w:tcPr>
            <w:tcW w:w="160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设备名称</w:t>
            </w:r>
          </w:p>
        </w:tc>
        <w:tc>
          <w:tcPr>
            <w:tcW w:w="1653"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品牌型号</w:t>
            </w:r>
          </w:p>
        </w:tc>
        <w:tc>
          <w:tcPr>
            <w:tcW w:w="887"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单价（元）</w:t>
            </w:r>
          </w:p>
        </w:tc>
        <w:tc>
          <w:tcPr>
            <w:tcW w:w="706"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数量</w:t>
            </w:r>
          </w:p>
        </w:tc>
        <w:tc>
          <w:tcPr>
            <w:tcW w:w="99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w:t>
            </w:r>
          </w:p>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价值</w:t>
            </w:r>
          </w:p>
        </w:tc>
        <w:tc>
          <w:tcPr>
            <w:tcW w:w="174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实训课程</w:t>
            </w:r>
          </w:p>
        </w:tc>
        <w:tc>
          <w:tcPr>
            <w:tcW w:w="4299"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实训室功能及实训项目</w:t>
            </w:r>
          </w:p>
        </w:tc>
        <w:tc>
          <w:tcPr>
            <w:tcW w:w="1666"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1</w:t>
            </w:r>
          </w:p>
        </w:tc>
        <w:tc>
          <w:tcPr>
            <w:tcW w:w="1608"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网中网会计教学软件</w:t>
            </w:r>
          </w:p>
        </w:tc>
        <w:tc>
          <w:tcPr>
            <w:tcW w:w="1653"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技能比赛平台</w:t>
            </w:r>
          </w:p>
        </w:tc>
        <w:tc>
          <w:tcPr>
            <w:tcW w:w="887"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97000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97000</w:t>
            </w:r>
          </w:p>
        </w:tc>
        <w:tc>
          <w:tcPr>
            <w:tcW w:w="1744" w:type="dxa"/>
            <w:vMerge w:val="restart"/>
            <w:vAlign w:val="center"/>
          </w:tcPr>
          <w:p>
            <w:pPr>
              <w:widowControl/>
              <w:numPr>
                <w:ilvl w:val="0"/>
                <w:numId w:val="4"/>
              </w:numPr>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基础会计电子实训</w:t>
            </w:r>
          </w:p>
          <w:p>
            <w:pPr>
              <w:widowControl/>
              <w:numPr>
                <w:ilvl w:val="0"/>
                <w:numId w:val="4"/>
              </w:numPr>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中级财务会计电子实训</w:t>
            </w:r>
          </w:p>
          <w:p>
            <w:pPr>
              <w:widowControl/>
              <w:numPr>
                <w:ilvl w:val="0"/>
                <w:numId w:val="4"/>
              </w:numPr>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成本会计电子实训</w:t>
            </w:r>
          </w:p>
          <w:p>
            <w:pPr>
              <w:widowControl/>
              <w:numPr>
                <w:ilvl w:val="0"/>
                <w:numId w:val="4"/>
              </w:numPr>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税务会计电子实训</w:t>
            </w:r>
          </w:p>
          <w:p>
            <w:pPr>
              <w:widowControl/>
              <w:numPr>
                <w:ilvl w:val="0"/>
                <w:numId w:val="4"/>
              </w:numPr>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会计技能竞赛训练</w:t>
            </w:r>
          </w:p>
        </w:tc>
        <w:tc>
          <w:tcPr>
            <w:tcW w:w="4299" w:type="dxa"/>
            <w:vMerge w:val="restart"/>
          </w:tcPr>
          <w:p>
            <w:pPr>
              <w:spacing w:line="360" w:lineRule="auto"/>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实训室功能：</w:t>
            </w:r>
          </w:p>
          <w:p>
            <w:pPr>
              <w:spacing w:line="360" w:lineRule="auto"/>
              <w:ind w:firstLine="48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本实训室安装有厦门网中网基础会计实训软件、中级财务会计实训软件、会计分岗实训软件软件、税费计算与申报实训软件、成本会计实训软件、会计技能大赛软件。承担会计专业、财务管理专业会计业务实训的教学任务。实训室软件模拟真实会计工作环境，培养学生掌握各项会计职业核心技能，提高综合职业素质与能力。</w:t>
            </w:r>
          </w:p>
          <w:p>
            <w:pPr>
              <w:spacing w:line="360" w:lineRule="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实训项目：</w:t>
            </w:r>
          </w:p>
          <w:p>
            <w:pPr>
              <w:widowControl/>
              <w:numPr>
                <w:ilvl w:val="0"/>
                <w:numId w:val="5"/>
              </w:numPr>
              <w:adjustRightInd w:val="0"/>
              <w:snapToGrid w:val="0"/>
              <w:spacing w:line="360" w:lineRule="auto"/>
              <w:ind w:left="0"/>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基础会计电子实训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1.原始凭证填制实训；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2.记账凭证填制实训；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3.开设账户实训；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4.账簿登记实训；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5.期末结账与对账实训；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6.银行业务核对实训；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7.基础业务综合实训。</w:t>
            </w:r>
          </w:p>
          <w:p>
            <w:pPr>
              <w:widowControl/>
              <w:numPr>
                <w:ilvl w:val="0"/>
                <w:numId w:val="5"/>
              </w:numPr>
              <w:adjustRightInd w:val="0"/>
              <w:snapToGrid w:val="0"/>
              <w:spacing w:line="360" w:lineRule="auto"/>
              <w:ind w:left="0"/>
              <w:jc w:val="lef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中级财务会计电子实训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1.货币资金核算实训；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2.往来款项核算实训；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3.存货核算实训；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4.固定资产核算实训；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5资金核算实训；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6.收入核算实训；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7.成本费用核算实训；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8.利润计算与分配核算实训；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9.会计表报编制实训。</w:t>
            </w:r>
          </w:p>
          <w:p>
            <w:pPr>
              <w:widowControl/>
              <w:numPr>
                <w:ilvl w:val="0"/>
                <w:numId w:val="5"/>
              </w:numPr>
              <w:adjustRightInd w:val="0"/>
              <w:snapToGrid w:val="0"/>
              <w:spacing w:line="360" w:lineRule="auto"/>
              <w:ind w:left="0"/>
              <w:jc w:val="lef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税务会计电子实训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1.增值税计算与申报实训；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2.消费税计算与申报实训；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3.关税计算与申报实训；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4.企业所得税计算与申报实训；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5.个人所得税计算与申报实训；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6.其他税种计算与申报实训；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7.税费计算与申报综合实训。</w:t>
            </w:r>
          </w:p>
          <w:p>
            <w:pPr>
              <w:widowControl/>
              <w:numPr>
                <w:ilvl w:val="0"/>
                <w:numId w:val="5"/>
              </w:numPr>
              <w:adjustRightInd w:val="0"/>
              <w:snapToGrid w:val="0"/>
              <w:spacing w:line="360" w:lineRule="auto"/>
              <w:ind w:left="0"/>
              <w:jc w:val="left"/>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成本会计电子实训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1.要素费用的归集与分配实训；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2.辅助生产费用的归集与分配实训；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3.制造费用的归集与分配实训；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4.在产品与完工产品分配实训；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5.品种法实训；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6.分批法实训；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7.分步法实训；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8其他辅助方法实训；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9.成本报表编制与分析实训；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10.成本核算综合案例实训。</w:t>
            </w:r>
          </w:p>
          <w:p>
            <w:pPr>
              <w:spacing w:line="360" w:lineRule="auto"/>
              <w:textAlignment w:val="center"/>
              <w:rPr>
                <w:rFonts w:asciiTheme="minorEastAsia" w:hAnsiTheme="minorEastAsia" w:eastAsiaTheme="minorEastAsia" w:cstheme="minorEastAsia"/>
                <w:color w:val="000000" w:themeColor="text1"/>
                <w:szCs w:val="21"/>
              </w:rPr>
            </w:pPr>
          </w:p>
        </w:tc>
        <w:tc>
          <w:tcPr>
            <w:tcW w:w="1666" w:type="dxa"/>
            <w:vMerge w:val="restart"/>
          </w:tcPr>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专业：会计、财务管理、金融管理</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年级：一年级 </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二年级</w:t>
            </w:r>
          </w:p>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 xml:space="preserve">      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2</w:t>
            </w:r>
          </w:p>
        </w:tc>
        <w:tc>
          <w:tcPr>
            <w:tcW w:w="1608"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网中网会计教学软件</w:t>
            </w:r>
          </w:p>
        </w:tc>
        <w:tc>
          <w:tcPr>
            <w:tcW w:w="1653"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成本会计</w:t>
            </w:r>
          </w:p>
        </w:tc>
        <w:tc>
          <w:tcPr>
            <w:tcW w:w="887"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60000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46000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3</w:t>
            </w:r>
          </w:p>
        </w:tc>
        <w:tc>
          <w:tcPr>
            <w:tcW w:w="1608"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网中网会计教学软件</w:t>
            </w:r>
          </w:p>
        </w:tc>
        <w:tc>
          <w:tcPr>
            <w:tcW w:w="1653"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税务会计</w:t>
            </w:r>
          </w:p>
        </w:tc>
        <w:tc>
          <w:tcPr>
            <w:tcW w:w="887"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70000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46000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4</w:t>
            </w:r>
          </w:p>
        </w:tc>
        <w:tc>
          <w:tcPr>
            <w:tcW w:w="1608"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网中网会计教学软件</w:t>
            </w:r>
          </w:p>
        </w:tc>
        <w:tc>
          <w:tcPr>
            <w:tcW w:w="1653"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中级财务会计</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38400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38400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5</w:t>
            </w:r>
          </w:p>
        </w:tc>
        <w:tc>
          <w:tcPr>
            <w:tcW w:w="1608"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网中网会计教学软件</w:t>
            </w:r>
          </w:p>
        </w:tc>
        <w:tc>
          <w:tcPr>
            <w:tcW w:w="1653"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基础会计</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38400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38400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电脑桌</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梅花型（5人）</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1250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13750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文件柜</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定做</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460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460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计算机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联想扬天T2900</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4372</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55</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240460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8"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中兴ZXR10RS—5928—AC</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8"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中兴ZXR10RS—5952—AC</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网络机柜</w:t>
            </w:r>
          </w:p>
        </w:tc>
        <w:tc>
          <w:tcPr>
            <w:tcW w:w="1653"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仿威龙1.8M，600*600</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12</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多媒体设备</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三洋</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523" w:type="dxa"/>
            <w:gridSpan w:val="6"/>
          </w:tcPr>
          <w:p>
            <w:pPr>
              <w:spacing w:line="360" w:lineRule="auto"/>
              <w:jc w:val="center"/>
              <w:textAlignment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设备价值合计</w:t>
            </w:r>
          </w:p>
        </w:tc>
        <w:tc>
          <w:tcPr>
            <w:tcW w:w="7709" w:type="dxa"/>
            <w:gridSpan w:val="3"/>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581070</w:t>
            </w:r>
          </w:p>
        </w:tc>
      </w:tr>
    </w:tbl>
    <w:p>
      <w:pPr>
        <w:tabs>
          <w:tab w:val="left" w:pos="5540"/>
          <w:tab w:val="center" w:pos="6979"/>
        </w:tabs>
        <w:spacing w:afterLines="50" w:line="360" w:lineRule="auto"/>
        <w:jc w:val="center"/>
        <w:rPr>
          <w:rFonts w:asciiTheme="minorEastAsia" w:hAnsiTheme="minorEastAsia" w:eastAsiaTheme="minorEastAsia" w:cstheme="minorEastAsia"/>
          <w:b/>
          <w:bCs/>
          <w:color w:val="000000" w:themeColor="text1"/>
          <w:szCs w:val="21"/>
        </w:rPr>
      </w:pPr>
      <w:r>
        <w:rPr>
          <w:rFonts w:hint="eastAsia" w:cs="仿宋" w:asciiTheme="minorEastAsia" w:hAnsiTheme="minorEastAsia" w:eastAsiaTheme="minorEastAsia"/>
          <w:color w:val="000000" w:themeColor="text1"/>
          <w:szCs w:val="21"/>
        </w:rPr>
        <w:t>表15-5、</w:t>
      </w:r>
      <w:r>
        <w:rPr>
          <w:rFonts w:hint="eastAsia" w:asciiTheme="minorEastAsia" w:hAnsiTheme="minorEastAsia" w:eastAsiaTheme="minorEastAsia" w:cstheme="minorEastAsia"/>
          <w:b/>
          <w:bCs/>
          <w:color w:val="000000" w:themeColor="text1"/>
          <w:szCs w:val="21"/>
        </w:rPr>
        <w:t>财会系跨专业综合实训中心VBSE（综合楼711-713）实训室</w:t>
      </w:r>
    </w:p>
    <w:tbl>
      <w:tblPr>
        <w:tblStyle w:val="18"/>
        <w:tblW w:w="142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608"/>
        <w:gridCol w:w="1653"/>
        <w:gridCol w:w="887"/>
        <w:gridCol w:w="706"/>
        <w:gridCol w:w="994"/>
        <w:gridCol w:w="1744"/>
        <w:gridCol w:w="4299"/>
        <w:gridCol w:w="1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67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序号</w:t>
            </w:r>
          </w:p>
        </w:tc>
        <w:tc>
          <w:tcPr>
            <w:tcW w:w="160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设备名称</w:t>
            </w:r>
          </w:p>
        </w:tc>
        <w:tc>
          <w:tcPr>
            <w:tcW w:w="1653"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品牌型号</w:t>
            </w:r>
          </w:p>
        </w:tc>
        <w:tc>
          <w:tcPr>
            <w:tcW w:w="887"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单价（元）</w:t>
            </w:r>
          </w:p>
        </w:tc>
        <w:tc>
          <w:tcPr>
            <w:tcW w:w="706"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数量</w:t>
            </w:r>
          </w:p>
        </w:tc>
        <w:tc>
          <w:tcPr>
            <w:tcW w:w="994" w:type="dxa"/>
            <w:vAlign w:val="center"/>
          </w:tcPr>
          <w:p>
            <w:pPr>
              <w:widowControl/>
              <w:adjustRightInd w:val="0"/>
              <w:snapToGrid w:val="0"/>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w:t>
            </w:r>
          </w:p>
          <w:p>
            <w:pPr>
              <w:widowControl/>
              <w:adjustRightInd w:val="0"/>
              <w:snapToGrid w:val="0"/>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价值</w:t>
            </w:r>
          </w:p>
        </w:tc>
        <w:tc>
          <w:tcPr>
            <w:tcW w:w="174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实训课程</w:t>
            </w:r>
          </w:p>
        </w:tc>
        <w:tc>
          <w:tcPr>
            <w:tcW w:w="4299"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实训室功能及实训项目</w:t>
            </w:r>
          </w:p>
        </w:tc>
        <w:tc>
          <w:tcPr>
            <w:tcW w:w="1666"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1</w:t>
            </w:r>
          </w:p>
        </w:tc>
        <w:tc>
          <w:tcPr>
            <w:tcW w:w="1608"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VBSE用友会计教学软件</w:t>
            </w:r>
          </w:p>
        </w:tc>
        <w:tc>
          <w:tcPr>
            <w:tcW w:w="1653"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技能比赛平台</w:t>
            </w:r>
          </w:p>
        </w:tc>
        <w:tc>
          <w:tcPr>
            <w:tcW w:w="887"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490000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490000</w:t>
            </w:r>
          </w:p>
        </w:tc>
        <w:tc>
          <w:tcPr>
            <w:tcW w:w="1744" w:type="dxa"/>
            <w:vMerge w:val="restart"/>
            <w:vAlign w:val="center"/>
          </w:tcPr>
          <w:p>
            <w:pPr>
              <w:spacing w:line="360" w:lineRule="auto"/>
              <w:textAlignment w:val="center"/>
              <w:rPr>
                <w:rFonts w:asciiTheme="minorEastAsia" w:hAnsiTheme="minorEastAsia" w:eastAsiaTheme="minorEastAsia" w:cstheme="minorEastAsia"/>
                <w:color w:val="000000" w:themeColor="text1"/>
                <w:szCs w:val="21"/>
              </w:rPr>
            </w:pPr>
          </w:p>
          <w:p>
            <w:pPr>
              <w:spacing w:line="360" w:lineRule="auto"/>
              <w:textAlignment w:val="center"/>
              <w:rPr>
                <w:rFonts w:asciiTheme="minorEastAsia" w:hAnsiTheme="minorEastAsia" w:eastAsiaTheme="minorEastAsia" w:cstheme="minorEastAsia"/>
                <w:color w:val="000000" w:themeColor="text1"/>
                <w:szCs w:val="21"/>
              </w:rPr>
            </w:pPr>
          </w:p>
          <w:p>
            <w:pPr>
              <w:spacing w:line="360" w:lineRule="auto"/>
              <w:textAlignment w:val="center"/>
              <w:rPr>
                <w:rFonts w:asciiTheme="minorEastAsia" w:hAnsiTheme="minorEastAsia" w:eastAsiaTheme="minorEastAsia" w:cstheme="minorEastAsia"/>
                <w:color w:val="000000" w:themeColor="text1"/>
                <w:szCs w:val="21"/>
              </w:rPr>
            </w:pPr>
          </w:p>
          <w:p>
            <w:pPr>
              <w:spacing w:line="360" w:lineRule="auto"/>
              <w:textAlignment w:val="center"/>
              <w:rPr>
                <w:rFonts w:asciiTheme="minorEastAsia" w:hAnsiTheme="minorEastAsia" w:eastAsiaTheme="minorEastAsia" w:cstheme="minorEastAsia"/>
                <w:color w:val="000000" w:themeColor="text1"/>
                <w:szCs w:val="21"/>
              </w:rPr>
            </w:pPr>
          </w:p>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VBSE跨专业综合实训</w:t>
            </w:r>
          </w:p>
        </w:tc>
        <w:tc>
          <w:tcPr>
            <w:tcW w:w="4299" w:type="dxa"/>
            <w:vMerge w:val="restart"/>
          </w:tcPr>
          <w:p>
            <w:pPr>
              <w:spacing w:line="360" w:lineRule="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w:t>
            </w:r>
          </w:p>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VBSE财务综合实践教学(以下简称VBSE财务版)，是用友新道针对财会类专业，以"把企业搬进校园"为产品理念，以制造企业典型业务为主线，以财务部门的各岗位技能培养为目标，为学生提供高仿真的企业工作环境、业务流程、业务数据，让学生通过任务驱动、角色扮演等方式的演练，理解企业生产经营业务与财务处理之间的逻辑关系，掌握各岗位财务技能，熟悉各财务岗位之间的协同关系，以及财务部门与商业社会环境中各组织间的工作关系，并通过信息化的训练让学生感知信息化处理流程与手工处理流程的差异，认知信息化下的财务处理流程。</w:t>
            </w:r>
          </w:p>
          <w:p>
            <w:pPr>
              <w:spacing w:line="360" w:lineRule="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实训项目：</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实训业务</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1.岗前培训</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2.招聘与应聘</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3.团队组建</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4.期初建账</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5.广告投放</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6.税费计算</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7.薪酬发放</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8.广告投放</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9.商品交易会</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10.货款回收</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11.材料款支付</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12.采购入库</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13.车架完工入库</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14.编制营销策划方案</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15.生产派工</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16.生产领料</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17.销售发货</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18.薪酬核算</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19.培训调研</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20.企业文化建设</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21.期末结账</w:t>
            </w:r>
          </w:p>
        </w:tc>
        <w:tc>
          <w:tcPr>
            <w:tcW w:w="1666" w:type="dxa"/>
            <w:vMerge w:val="restart"/>
          </w:tcPr>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专业：会计、财务管理、金融管理</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年级：一年级 </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二年级</w:t>
            </w:r>
          </w:p>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 xml:space="preserve">      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电脑桌</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梅花型（5人）</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1250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13750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文件柜</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定做</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460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460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计算机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联想扬天T2900</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4372</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55</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240460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8"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中兴ZXR10RS—5928—AC</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8"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中兴ZXR10RS—5952—AC</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网络机柜</w:t>
            </w:r>
          </w:p>
        </w:tc>
        <w:tc>
          <w:tcPr>
            <w:tcW w:w="1653"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仿威龙1.8M，600*600</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多媒体设备</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三洋</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523" w:type="dxa"/>
            <w:gridSpan w:val="6"/>
          </w:tcPr>
          <w:p>
            <w:pPr>
              <w:spacing w:line="360" w:lineRule="auto"/>
              <w:jc w:val="center"/>
              <w:textAlignment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设备价值合计</w:t>
            </w:r>
          </w:p>
        </w:tc>
        <w:tc>
          <w:tcPr>
            <w:tcW w:w="7709" w:type="dxa"/>
            <w:gridSpan w:val="3"/>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971050</w:t>
            </w:r>
          </w:p>
        </w:tc>
      </w:tr>
    </w:tbl>
    <w:p>
      <w:pPr>
        <w:tabs>
          <w:tab w:val="left" w:pos="5540"/>
          <w:tab w:val="center" w:pos="6979"/>
        </w:tabs>
        <w:spacing w:afterLines="50" w:line="360" w:lineRule="auto"/>
        <w:jc w:val="center"/>
        <w:rPr>
          <w:rFonts w:asciiTheme="minorEastAsia" w:hAnsiTheme="minorEastAsia" w:eastAsiaTheme="minorEastAsia" w:cstheme="minorEastAsia"/>
          <w:b/>
          <w:bCs/>
          <w:color w:val="000000" w:themeColor="text1"/>
          <w:szCs w:val="21"/>
        </w:rPr>
      </w:pPr>
      <w:r>
        <w:rPr>
          <w:rFonts w:hint="eastAsia" w:cs="仿宋" w:asciiTheme="minorEastAsia" w:hAnsiTheme="minorEastAsia" w:eastAsiaTheme="minorEastAsia"/>
          <w:color w:val="000000" w:themeColor="text1"/>
          <w:szCs w:val="21"/>
        </w:rPr>
        <w:t>表15-6、</w:t>
      </w:r>
      <w:r>
        <w:rPr>
          <w:rFonts w:hint="eastAsia" w:asciiTheme="minorEastAsia" w:hAnsiTheme="minorEastAsia" w:eastAsiaTheme="minorEastAsia" w:cstheme="minorEastAsia"/>
          <w:b/>
          <w:bCs/>
          <w:color w:val="000000" w:themeColor="text1"/>
          <w:szCs w:val="21"/>
        </w:rPr>
        <w:t>财会系财会决策中心综合楼811-813）实训室</w:t>
      </w:r>
    </w:p>
    <w:tbl>
      <w:tblPr>
        <w:tblStyle w:val="18"/>
        <w:tblW w:w="142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6"/>
        <w:gridCol w:w="1845"/>
        <w:gridCol w:w="887"/>
        <w:gridCol w:w="706"/>
        <w:gridCol w:w="994"/>
        <w:gridCol w:w="1744"/>
        <w:gridCol w:w="4283"/>
        <w:gridCol w:w="1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67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序号</w:t>
            </w:r>
          </w:p>
        </w:tc>
        <w:tc>
          <w:tcPr>
            <w:tcW w:w="1416"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设备名称</w:t>
            </w:r>
          </w:p>
        </w:tc>
        <w:tc>
          <w:tcPr>
            <w:tcW w:w="184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品牌型号</w:t>
            </w:r>
          </w:p>
        </w:tc>
        <w:tc>
          <w:tcPr>
            <w:tcW w:w="887"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单价（元）</w:t>
            </w:r>
          </w:p>
        </w:tc>
        <w:tc>
          <w:tcPr>
            <w:tcW w:w="706"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数量</w:t>
            </w:r>
          </w:p>
        </w:tc>
        <w:tc>
          <w:tcPr>
            <w:tcW w:w="99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w:t>
            </w:r>
          </w:p>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价值</w:t>
            </w:r>
          </w:p>
        </w:tc>
        <w:tc>
          <w:tcPr>
            <w:tcW w:w="174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实训课程</w:t>
            </w:r>
          </w:p>
        </w:tc>
        <w:tc>
          <w:tcPr>
            <w:tcW w:w="4283"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实训室功能及实训项目</w:t>
            </w:r>
          </w:p>
        </w:tc>
        <w:tc>
          <w:tcPr>
            <w:tcW w:w="1682"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1</w:t>
            </w:r>
          </w:p>
        </w:tc>
        <w:tc>
          <w:tcPr>
            <w:tcW w:w="1416"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财务决策教学软件</w:t>
            </w:r>
          </w:p>
        </w:tc>
        <w:tc>
          <w:tcPr>
            <w:tcW w:w="1845"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技能比赛平台</w:t>
            </w:r>
          </w:p>
        </w:tc>
        <w:tc>
          <w:tcPr>
            <w:tcW w:w="887"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290000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290000</w:t>
            </w:r>
          </w:p>
        </w:tc>
        <w:tc>
          <w:tcPr>
            <w:tcW w:w="1744" w:type="dxa"/>
            <w:vMerge w:val="restart"/>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VBSE跨专业综合实训</w:t>
            </w:r>
          </w:p>
        </w:tc>
        <w:tc>
          <w:tcPr>
            <w:tcW w:w="4283" w:type="dxa"/>
            <w:vMerge w:val="restart"/>
          </w:tcPr>
          <w:p>
            <w:pPr>
              <w:spacing w:line="360" w:lineRule="auto"/>
              <w:rPr>
                <w:rFonts w:asciiTheme="minorEastAsia" w:hAnsiTheme="minorEastAsia" w:eastAsiaTheme="minorEastAsia" w:cstheme="minorEastAsia"/>
                <w:b/>
                <w:color w:val="000000" w:themeColor="text1"/>
                <w:szCs w:val="21"/>
              </w:rPr>
            </w:pPr>
          </w:p>
          <w:p>
            <w:pPr>
              <w:spacing w:line="360" w:lineRule="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w:t>
            </w:r>
          </w:p>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财务决策平台是厦门网中网软件有限公司面向财会类学员开发的一款仿真模拟企业运营实务的教学软件。本决策平台围绕财务管理和核算两个核心环节，在模拟企业经营内外部环境下，设计了企业运营、账务处理、电子报税、税务稽查四大操作模块，要求学员以团队形式，通过人机对抗方式分角色虚拟运营一家工业企业。着重训练学生从CFO的角度综合运用企业管理、财务管理、会计、税法、市场营销等理论知识实际运作企业的能力。</w:t>
            </w:r>
          </w:p>
          <w:p>
            <w:pPr>
              <w:spacing w:line="360" w:lineRule="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实训项目：</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实训业务</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1.财务决策平台规则</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2.运营实战篇</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 会计业务实战操作</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 会计典型业务处理</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 纳税申报</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 税务稽查</w:t>
            </w:r>
          </w:p>
          <w:p>
            <w:pPr>
              <w:widowControl/>
              <w:adjustRightInd w:val="0"/>
              <w:snapToGrid w:val="0"/>
              <w:spacing w:line="360" w:lineRule="auto"/>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 教学设计实施篇</w:t>
            </w:r>
          </w:p>
        </w:tc>
        <w:tc>
          <w:tcPr>
            <w:tcW w:w="1682" w:type="dxa"/>
            <w:vMerge w:val="restart"/>
          </w:tcPr>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专业：会计、财务管理、金融管理</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年级：一年级 </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二年级</w:t>
            </w:r>
          </w:p>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 xml:space="preserve">      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41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电脑桌</w:t>
            </w:r>
          </w:p>
        </w:tc>
        <w:tc>
          <w:tcPr>
            <w:tcW w:w="184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梅花型（5人）</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1250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13750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141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文件柜</w:t>
            </w:r>
          </w:p>
        </w:tc>
        <w:tc>
          <w:tcPr>
            <w:tcW w:w="184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定做</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460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460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41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计算机</w:t>
            </w:r>
          </w:p>
        </w:tc>
        <w:tc>
          <w:tcPr>
            <w:tcW w:w="184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联想扬天T2900</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4372</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55</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240460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41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84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中兴ZXR10RS—5928—AC</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141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84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中兴ZXR10RS—5952—AC</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5"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141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网络机柜</w:t>
            </w:r>
          </w:p>
        </w:tc>
        <w:tc>
          <w:tcPr>
            <w:tcW w:w="1845"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仿威龙1.8M，600*600</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41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多媒体设备</w:t>
            </w:r>
          </w:p>
        </w:tc>
        <w:tc>
          <w:tcPr>
            <w:tcW w:w="184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三洋</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523" w:type="dxa"/>
            <w:gridSpan w:val="6"/>
          </w:tcPr>
          <w:p>
            <w:pPr>
              <w:spacing w:line="360" w:lineRule="auto"/>
              <w:jc w:val="center"/>
              <w:textAlignment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设备价值合计</w:t>
            </w:r>
          </w:p>
        </w:tc>
        <w:tc>
          <w:tcPr>
            <w:tcW w:w="7709" w:type="dxa"/>
            <w:gridSpan w:val="3"/>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773050</w:t>
            </w:r>
          </w:p>
        </w:tc>
      </w:tr>
    </w:tbl>
    <w:p>
      <w:pPr>
        <w:tabs>
          <w:tab w:val="left" w:pos="5540"/>
          <w:tab w:val="center" w:pos="6979"/>
        </w:tabs>
        <w:spacing w:afterLines="50" w:line="360" w:lineRule="auto"/>
        <w:jc w:val="center"/>
        <w:rPr>
          <w:rFonts w:asciiTheme="minorEastAsia" w:hAnsiTheme="minorEastAsia" w:eastAsiaTheme="minorEastAsia" w:cstheme="minorEastAsia"/>
          <w:b/>
          <w:bCs/>
          <w:color w:val="000000" w:themeColor="text1"/>
          <w:szCs w:val="21"/>
        </w:rPr>
      </w:pPr>
      <w:r>
        <w:rPr>
          <w:rFonts w:hint="eastAsia" w:cs="仿宋" w:asciiTheme="minorEastAsia" w:hAnsiTheme="minorEastAsia" w:eastAsiaTheme="minorEastAsia"/>
          <w:color w:val="000000" w:themeColor="text1"/>
          <w:szCs w:val="21"/>
        </w:rPr>
        <w:t>表15-7、</w:t>
      </w:r>
      <w:r>
        <w:rPr>
          <w:rFonts w:hint="eastAsia" w:asciiTheme="minorEastAsia" w:hAnsiTheme="minorEastAsia" w:eastAsiaTheme="minorEastAsia" w:cstheme="minorEastAsia"/>
          <w:b/>
          <w:bCs/>
          <w:color w:val="000000" w:themeColor="text1"/>
          <w:szCs w:val="21"/>
        </w:rPr>
        <w:t>财会系会计职业能力训练中心（综合楼704-706）实训室</w:t>
      </w:r>
    </w:p>
    <w:tbl>
      <w:tblPr>
        <w:tblStyle w:val="18"/>
        <w:tblW w:w="142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608"/>
        <w:gridCol w:w="1653"/>
        <w:gridCol w:w="887"/>
        <w:gridCol w:w="706"/>
        <w:gridCol w:w="994"/>
        <w:gridCol w:w="1744"/>
        <w:gridCol w:w="4283"/>
        <w:gridCol w:w="1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67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序号</w:t>
            </w:r>
          </w:p>
        </w:tc>
        <w:tc>
          <w:tcPr>
            <w:tcW w:w="160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设备名称</w:t>
            </w:r>
          </w:p>
        </w:tc>
        <w:tc>
          <w:tcPr>
            <w:tcW w:w="1653"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品牌型号</w:t>
            </w:r>
          </w:p>
        </w:tc>
        <w:tc>
          <w:tcPr>
            <w:tcW w:w="887"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单价（元）</w:t>
            </w:r>
          </w:p>
        </w:tc>
        <w:tc>
          <w:tcPr>
            <w:tcW w:w="706"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数量</w:t>
            </w:r>
          </w:p>
        </w:tc>
        <w:tc>
          <w:tcPr>
            <w:tcW w:w="994" w:type="dxa"/>
            <w:vAlign w:val="center"/>
          </w:tcPr>
          <w:p>
            <w:pPr>
              <w:widowControl/>
              <w:adjustRightInd w:val="0"/>
              <w:snapToGrid w:val="0"/>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w:t>
            </w:r>
          </w:p>
          <w:p>
            <w:pPr>
              <w:widowControl/>
              <w:adjustRightInd w:val="0"/>
              <w:snapToGrid w:val="0"/>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价值</w:t>
            </w:r>
          </w:p>
        </w:tc>
        <w:tc>
          <w:tcPr>
            <w:tcW w:w="174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实训课程</w:t>
            </w:r>
          </w:p>
        </w:tc>
        <w:tc>
          <w:tcPr>
            <w:tcW w:w="4283"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实训室功能及实训项目</w:t>
            </w:r>
          </w:p>
        </w:tc>
        <w:tc>
          <w:tcPr>
            <w:tcW w:w="1682"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1</w:t>
            </w:r>
          </w:p>
        </w:tc>
        <w:tc>
          <w:tcPr>
            <w:tcW w:w="1608" w:type="dxa"/>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基本技能训练</w:t>
            </w:r>
          </w:p>
          <w:p>
            <w:pPr>
              <w:widowControl/>
              <w:adjustRightInd w:val="0"/>
              <w:snapToGrid w:val="0"/>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会计职称考试软件</w:t>
            </w:r>
          </w:p>
        </w:tc>
        <w:tc>
          <w:tcPr>
            <w:tcW w:w="1653"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技能训练平台</w:t>
            </w:r>
          </w:p>
        </w:tc>
        <w:tc>
          <w:tcPr>
            <w:tcW w:w="887"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230000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230000</w:t>
            </w:r>
          </w:p>
        </w:tc>
        <w:tc>
          <w:tcPr>
            <w:tcW w:w="1744" w:type="dxa"/>
            <w:vMerge w:val="restart"/>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VBSE跨专业综合实训</w:t>
            </w:r>
          </w:p>
        </w:tc>
        <w:tc>
          <w:tcPr>
            <w:tcW w:w="4283" w:type="dxa"/>
            <w:vMerge w:val="restart"/>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b/>
                <w:color w:val="000000" w:themeColor="text1"/>
                <w:szCs w:val="21"/>
              </w:rPr>
              <w:t>实训室功能：</w:t>
            </w:r>
          </w:p>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让学生掌握财会专业所必需的珠算、点钞、小键盘数字录入等电子计算工具应用的基础知识、基本技能和技巧，使学生具备该项技能的初、中级技术水平和操作能力，为学生从事财经工作打下坚实的基础。促进学生智能的发展和优良个性品质的形成，加强学生职业道德观念。</w:t>
            </w:r>
          </w:p>
          <w:p>
            <w:pPr>
              <w:spacing w:line="360" w:lineRule="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实训项目：</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实训业务</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1.珠算训练</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2.点钞技能训练</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3.小键盘录入</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 传票翻打训练</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 表格处理</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 凭证整理与装订</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 会计档案归档</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8.会计职称考试训练</w:t>
            </w:r>
          </w:p>
        </w:tc>
        <w:tc>
          <w:tcPr>
            <w:tcW w:w="1682" w:type="dxa"/>
            <w:vMerge w:val="restart"/>
          </w:tcPr>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专业：会计、财务管理、金融管理</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年级：一年级 </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二年级</w:t>
            </w:r>
          </w:p>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 xml:space="preserve">      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电脑桌</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梅花型（5人）</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1250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13750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文件柜</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定做</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460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460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计算机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联想扬天T2900</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4372</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55</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240460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中兴ZXR10RS—5928—AC</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中兴ZXR10RS—5952—AC</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网络机柜</w:t>
            </w:r>
          </w:p>
        </w:tc>
        <w:tc>
          <w:tcPr>
            <w:tcW w:w="1653"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仿威龙1.8M，600*600</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多媒体设备</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三洋</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83"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82"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523" w:type="dxa"/>
            <w:gridSpan w:val="6"/>
          </w:tcPr>
          <w:p>
            <w:pPr>
              <w:spacing w:line="360" w:lineRule="auto"/>
              <w:jc w:val="center"/>
              <w:textAlignment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设备价值合计</w:t>
            </w:r>
          </w:p>
        </w:tc>
        <w:tc>
          <w:tcPr>
            <w:tcW w:w="7709" w:type="dxa"/>
            <w:gridSpan w:val="3"/>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717750</w:t>
            </w:r>
          </w:p>
        </w:tc>
      </w:tr>
    </w:tbl>
    <w:p>
      <w:pPr>
        <w:tabs>
          <w:tab w:val="left" w:pos="5540"/>
          <w:tab w:val="center" w:pos="6979"/>
        </w:tabs>
        <w:spacing w:afterLines="50" w:line="360" w:lineRule="auto"/>
        <w:jc w:val="center"/>
        <w:rPr>
          <w:rFonts w:asciiTheme="minorEastAsia" w:hAnsiTheme="minorEastAsia" w:eastAsiaTheme="minorEastAsia" w:cstheme="minorEastAsia"/>
          <w:b/>
          <w:bCs/>
          <w:color w:val="000000" w:themeColor="text1"/>
          <w:szCs w:val="21"/>
        </w:rPr>
      </w:pPr>
      <w:r>
        <w:rPr>
          <w:rFonts w:hint="eastAsia" w:cs="仿宋" w:asciiTheme="minorEastAsia" w:hAnsiTheme="minorEastAsia" w:eastAsiaTheme="minorEastAsia"/>
          <w:color w:val="000000" w:themeColor="text1"/>
          <w:szCs w:val="21"/>
        </w:rPr>
        <w:t>表15-8、</w:t>
      </w:r>
      <w:r>
        <w:rPr>
          <w:rFonts w:hint="eastAsia" w:asciiTheme="minorEastAsia" w:hAnsiTheme="minorEastAsia" w:eastAsiaTheme="minorEastAsia" w:cstheme="minorEastAsia"/>
          <w:b/>
          <w:bCs/>
          <w:color w:val="000000" w:themeColor="text1"/>
          <w:szCs w:val="21"/>
        </w:rPr>
        <w:t>财会系会计实践中心（综合楼702）实训室</w:t>
      </w:r>
    </w:p>
    <w:tbl>
      <w:tblPr>
        <w:tblStyle w:val="18"/>
        <w:tblW w:w="142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608"/>
        <w:gridCol w:w="1653"/>
        <w:gridCol w:w="887"/>
        <w:gridCol w:w="706"/>
        <w:gridCol w:w="994"/>
        <w:gridCol w:w="1744"/>
        <w:gridCol w:w="4299"/>
        <w:gridCol w:w="1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675"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序号</w:t>
            </w:r>
          </w:p>
        </w:tc>
        <w:tc>
          <w:tcPr>
            <w:tcW w:w="1608"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设备名称</w:t>
            </w:r>
          </w:p>
        </w:tc>
        <w:tc>
          <w:tcPr>
            <w:tcW w:w="1653"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品牌型号</w:t>
            </w:r>
          </w:p>
        </w:tc>
        <w:tc>
          <w:tcPr>
            <w:tcW w:w="887"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单价（元）</w:t>
            </w:r>
          </w:p>
        </w:tc>
        <w:tc>
          <w:tcPr>
            <w:tcW w:w="706"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数量</w:t>
            </w:r>
          </w:p>
        </w:tc>
        <w:tc>
          <w:tcPr>
            <w:tcW w:w="99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设备</w:t>
            </w:r>
          </w:p>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价值</w:t>
            </w:r>
          </w:p>
        </w:tc>
        <w:tc>
          <w:tcPr>
            <w:tcW w:w="1744"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实训课程</w:t>
            </w:r>
          </w:p>
        </w:tc>
        <w:tc>
          <w:tcPr>
            <w:tcW w:w="4299"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实训室功能及实训项目</w:t>
            </w:r>
          </w:p>
        </w:tc>
        <w:tc>
          <w:tcPr>
            <w:tcW w:w="1666" w:type="dxa"/>
            <w:vAlign w:val="center"/>
          </w:tcPr>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面向专业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1</w:t>
            </w:r>
          </w:p>
        </w:tc>
        <w:tc>
          <w:tcPr>
            <w:tcW w:w="1608"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仿真报税软件</w:t>
            </w:r>
          </w:p>
        </w:tc>
        <w:tc>
          <w:tcPr>
            <w:tcW w:w="1653"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技能训练平台</w:t>
            </w:r>
          </w:p>
        </w:tc>
        <w:tc>
          <w:tcPr>
            <w:tcW w:w="887"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130000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130000</w:t>
            </w:r>
          </w:p>
        </w:tc>
        <w:tc>
          <w:tcPr>
            <w:tcW w:w="1744" w:type="dxa"/>
            <w:vMerge w:val="restart"/>
            <w:vAlign w:val="center"/>
          </w:tcPr>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VBSE跨专业</w:t>
            </w:r>
          </w:p>
          <w:p>
            <w:pPr>
              <w:spacing w:line="360" w:lineRule="auto"/>
              <w:ind w:firstLine="210" w:firstLineChars="100"/>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综合实训</w:t>
            </w:r>
          </w:p>
        </w:tc>
        <w:tc>
          <w:tcPr>
            <w:tcW w:w="4299" w:type="dxa"/>
            <w:vMerge w:val="restart"/>
          </w:tcPr>
          <w:p>
            <w:pPr>
              <w:spacing w:line="360" w:lineRule="auto"/>
              <w:ind w:firstLine="480"/>
              <w:rPr>
                <w:rFonts w:asciiTheme="minorEastAsia" w:hAnsiTheme="minorEastAsia" w:eastAsiaTheme="minorEastAsia" w:cstheme="minorEastAsia"/>
                <w:b/>
                <w:bCs/>
                <w:color w:val="000000" w:themeColor="text1"/>
                <w:szCs w:val="21"/>
              </w:rPr>
            </w:pPr>
          </w:p>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b/>
                <w:color w:val="000000" w:themeColor="text1"/>
                <w:szCs w:val="21"/>
              </w:rPr>
              <w:t>实训室功能：</w:t>
            </w:r>
          </w:p>
          <w:p>
            <w:pPr>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以多维的角度体验整个产业链以及企业内部跨部门间的业务流转，帮助学生更好的了解企业的实务环境、内部控制、角色分工、工作交互及沟通管理技巧，学生在实践中学习财会专业的专业技能，同时综合提升学生的团队协作技能、风险应对技能，管理技能及沟通的技巧，有效推动教学改革、完善教学课程类型和内容、改善课堂教学气氛、提升研究平台、进而提升学生综合能力素质，培养应用型、复合型、创新型财经类专业人才。</w:t>
            </w:r>
          </w:p>
          <w:p>
            <w:pPr>
              <w:spacing w:line="360" w:lineRule="auto"/>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b/>
                <w:color w:val="000000" w:themeColor="text1"/>
                <w:szCs w:val="21"/>
              </w:rPr>
              <w:t>实训项目：</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实训业务</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1.凭证审核</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2.凭证录入</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3.账务处理</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 账簿登记</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 报表编制</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 纳税申报</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 会计档案归档</w:t>
            </w:r>
          </w:p>
        </w:tc>
        <w:tc>
          <w:tcPr>
            <w:tcW w:w="1666" w:type="dxa"/>
            <w:vMerge w:val="restart"/>
          </w:tcPr>
          <w:p>
            <w:pPr>
              <w:spacing w:line="360" w:lineRule="auto"/>
              <w:jc w:val="center"/>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rPr>
                <w:rFonts w:asciiTheme="minorEastAsia" w:hAnsiTheme="minorEastAsia" w:eastAsiaTheme="minorEastAsia" w:cstheme="minorEastAsia"/>
                <w:color w:val="000000" w:themeColor="text1"/>
                <w:szCs w:val="21"/>
              </w:rPr>
            </w:pP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专业：会计、财务管理、金融管理</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年级：一年级 </w:t>
            </w:r>
          </w:p>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 xml:space="preserve">      二年级</w:t>
            </w:r>
          </w:p>
          <w:p>
            <w:pPr>
              <w:spacing w:line="360" w:lineRule="auto"/>
              <w:jc w:val="center"/>
              <w:rPr>
                <w:rFonts w:asciiTheme="minorEastAsia" w:hAnsiTheme="minorEastAsia" w:eastAsiaTheme="minorEastAsia" w:cstheme="minorEastAsia"/>
                <w:b/>
                <w:color w:val="000000" w:themeColor="text1"/>
                <w:szCs w:val="21"/>
              </w:rPr>
            </w:pPr>
            <w:r>
              <w:rPr>
                <w:rFonts w:hint="eastAsia" w:asciiTheme="minorEastAsia" w:hAnsiTheme="minorEastAsia" w:eastAsiaTheme="minorEastAsia" w:cstheme="minorEastAsia"/>
                <w:color w:val="000000" w:themeColor="text1"/>
                <w:szCs w:val="21"/>
              </w:rPr>
              <w:t xml:space="preserve">      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电脑桌</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普通（5人）</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1250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13750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文件柜</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定做</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460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460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计算机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联想扬天T2900</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75000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8"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中兴ZXR10RS—5928—AC</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15600</w:t>
            </w:r>
          </w:p>
        </w:tc>
        <w:tc>
          <w:tcPr>
            <w:tcW w:w="1744" w:type="dxa"/>
            <w:vMerge w:val="continue"/>
            <w:vAlign w:val="center"/>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8"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交换机</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中兴ZXR10RS—5952—AC</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26600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网络机柜</w:t>
            </w:r>
          </w:p>
        </w:tc>
        <w:tc>
          <w:tcPr>
            <w:tcW w:w="1653" w:type="dxa"/>
            <w:vAlign w:val="center"/>
          </w:tcPr>
          <w:p>
            <w:pPr>
              <w:spacing w:line="360" w:lineRule="auto"/>
              <w:jc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仿威龙1.8M，600*600</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675"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1608"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多媒体设备</w:t>
            </w:r>
          </w:p>
        </w:tc>
        <w:tc>
          <w:tcPr>
            <w:tcW w:w="1653"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三洋</w:t>
            </w:r>
          </w:p>
        </w:tc>
        <w:tc>
          <w:tcPr>
            <w:tcW w:w="887"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706"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994" w:type="dxa"/>
            <w:vAlign w:val="center"/>
          </w:tcPr>
          <w:p>
            <w:pPr>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16400</w:t>
            </w:r>
          </w:p>
        </w:tc>
        <w:tc>
          <w:tcPr>
            <w:tcW w:w="1744" w:type="dxa"/>
            <w:vMerge w:val="continue"/>
          </w:tcPr>
          <w:p>
            <w:pPr>
              <w:spacing w:line="360" w:lineRule="auto"/>
              <w:jc w:val="center"/>
              <w:textAlignment w:val="center"/>
              <w:rPr>
                <w:rFonts w:asciiTheme="minorEastAsia" w:hAnsiTheme="minorEastAsia" w:eastAsiaTheme="minorEastAsia" w:cstheme="minorEastAsia"/>
                <w:color w:val="000000" w:themeColor="text1"/>
                <w:szCs w:val="21"/>
              </w:rPr>
            </w:pPr>
          </w:p>
        </w:tc>
        <w:tc>
          <w:tcPr>
            <w:tcW w:w="4299" w:type="dxa"/>
            <w:vMerge w:val="continue"/>
          </w:tcPr>
          <w:p>
            <w:pPr>
              <w:spacing w:line="360" w:lineRule="auto"/>
              <w:jc w:val="center"/>
              <w:rPr>
                <w:rFonts w:asciiTheme="minorEastAsia" w:hAnsiTheme="minorEastAsia" w:eastAsiaTheme="minorEastAsia" w:cstheme="minorEastAsia"/>
                <w:color w:val="000000" w:themeColor="text1"/>
                <w:szCs w:val="21"/>
              </w:rPr>
            </w:pPr>
          </w:p>
        </w:tc>
        <w:tc>
          <w:tcPr>
            <w:tcW w:w="1666" w:type="dxa"/>
            <w:vMerge w:val="continue"/>
          </w:tcPr>
          <w:p>
            <w:pPr>
              <w:spacing w:line="360" w:lineRule="auto"/>
              <w:jc w:val="center"/>
              <w:rPr>
                <w:rFonts w:asciiTheme="minorEastAsia" w:hAnsiTheme="minorEastAsia" w:eastAsiaTheme="minorEastAsia" w:cstheme="minorEastAsia"/>
                <w:b/>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6523" w:type="dxa"/>
            <w:gridSpan w:val="6"/>
          </w:tcPr>
          <w:p>
            <w:pPr>
              <w:spacing w:line="360" w:lineRule="auto"/>
              <w:jc w:val="center"/>
              <w:textAlignment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设备价值合计</w:t>
            </w:r>
          </w:p>
        </w:tc>
        <w:tc>
          <w:tcPr>
            <w:tcW w:w="7709" w:type="dxa"/>
            <w:gridSpan w:val="3"/>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279810</w:t>
            </w:r>
          </w:p>
        </w:tc>
      </w:tr>
    </w:tbl>
    <w:p>
      <w:pPr>
        <w:spacing w:line="360" w:lineRule="auto"/>
        <w:rPr>
          <w:rFonts w:asciiTheme="minorEastAsia" w:hAnsiTheme="minorEastAsia" w:eastAsiaTheme="minorEastAsia"/>
          <w:color w:val="000000" w:themeColor="text1"/>
          <w:szCs w:val="21"/>
        </w:rPr>
      </w:pPr>
    </w:p>
    <w:p>
      <w:pPr>
        <w:spacing w:line="360" w:lineRule="auto"/>
        <w:ind w:right="-82" w:rightChars="-39"/>
        <w:outlineLvl w:val="2"/>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2.校外实践基地</w:t>
      </w:r>
    </w:p>
    <w:p>
      <w:pPr>
        <w:spacing w:line="360" w:lineRule="auto"/>
        <w:ind w:right="-82" w:rightChars="-39" w:firstLine="48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校外实践基地是指本专业与相关企业合作建立，由企业提供实训场所和实训资源，具有一定规模且相对稳定，能够提供学生直接参加校外生产和实际工作的重要训练场所。是本专业人才培养和教学体系的重要组成部分，是体现职业教育应用型人才双主体培育特色的不可缺少的教学环节，学生通过校外顶岗实习，巩固所学理论知识，训练职业技能，全面提高综合素质，为就业搭建平台。</w:t>
      </w:r>
    </w:p>
    <w:p>
      <w:pPr>
        <w:spacing w:line="360" w:lineRule="auto"/>
        <w:ind w:right="-82" w:rightChars="-39"/>
        <w:jc w:val="center"/>
        <w:rPr>
          <w:rFonts w:cs="仿宋" w:asciiTheme="minorEastAsia" w:hAnsiTheme="minorEastAsia" w:eastAsiaTheme="minorEastAsia"/>
          <w:b/>
          <w:bCs/>
          <w:color w:val="000000" w:themeColor="text1"/>
          <w:szCs w:val="21"/>
        </w:rPr>
      </w:pPr>
      <w:r>
        <w:rPr>
          <w:rFonts w:hint="eastAsia" w:cs="仿宋" w:asciiTheme="minorEastAsia" w:hAnsiTheme="minorEastAsia" w:eastAsiaTheme="minorEastAsia"/>
          <w:bCs/>
          <w:color w:val="000000" w:themeColor="text1"/>
          <w:szCs w:val="21"/>
        </w:rPr>
        <w:t>表16、</w:t>
      </w:r>
      <w:r>
        <w:rPr>
          <w:rFonts w:hint="eastAsia" w:cs="仿宋" w:asciiTheme="minorEastAsia" w:hAnsiTheme="minorEastAsia" w:eastAsiaTheme="minorEastAsia"/>
          <w:b/>
          <w:bCs/>
          <w:color w:val="000000" w:themeColor="text1"/>
          <w:szCs w:val="21"/>
        </w:rPr>
        <w:t>已经合作建设的校外实训基地明细表</w:t>
      </w:r>
    </w:p>
    <w:tbl>
      <w:tblPr>
        <w:tblStyle w:val="18"/>
        <w:tblW w:w="140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3372"/>
        <w:gridCol w:w="5812"/>
        <w:gridCol w:w="2126"/>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序号</w:t>
            </w:r>
          </w:p>
        </w:tc>
        <w:tc>
          <w:tcPr>
            <w:tcW w:w="337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实习基地名称</w:t>
            </w:r>
          </w:p>
        </w:tc>
        <w:tc>
          <w:tcPr>
            <w:tcW w:w="581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2" w:firstLineChars="200"/>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功能及服务</w:t>
            </w:r>
          </w:p>
        </w:tc>
        <w:tc>
          <w:tcPr>
            <w:tcW w:w="21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接纳学生数量</w:t>
            </w:r>
          </w:p>
        </w:tc>
        <w:tc>
          <w:tcPr>
            <w:tcW w:w="19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bCs/>
                <w:color w:val="000000" w:themeColor="text1"/>
                <w:szCs w:val="21"/>
              </w:rPr>
            </w:pPr>
            <w:r>
              <w:rPr>
                <w:rFonts w:hint="eastAsia" w:asciiTheme="minorEastAsia" w:hAnsiTheme="minorEastAsia" w:eastAsiaTheme="minorEastAsia" w:cstheme="minorEastAsia"/>
                <w:b/>
                <w:bCs/>
                <w:color w:val="000000" w:themeColor="text1"/>
                <w:szCs w:val="21"/>
              </w:rPr>
              <w:t>企业类型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临汾众望冀东汽车连锁销售公司</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为学生提供训练从事有关产品营销能力的机会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为学生提供训练从事收银业务能力的机会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为学生提供训练从事会计核算、财务管理能力的机会等</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临汾市广怡兴装饰有限公司</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为学生提供训练从事有关产品营销能力的机会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为学生提供训练从事收银业务能力的机会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为学生提供训练从事会计核算、财务管理能力的机会等</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建筑业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临汾市尧光神龙汽车服务公司</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为学生提供训练从事有关产品营销能力的机会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为学生提供训练从事收银业务能力的机会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为学生提供训练从事会计核算、财务管理能力的机会等</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4</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临汾市正达信会计事务所</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为学生提供训练从事有关产品营销能力的机会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为学生提供训练从事收银业务能力的机会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为学生提供训练从事会计核算、财务管理能力的机会等</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临汾市信誉资产评估事务所</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为学生提供训练从事有关产品营销能力的机会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为学生提供训练从事收银业务能力的机会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为学生提供训练从事会计核算、财务管理能力的机会等</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6</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临汾桂莆家具有限公司</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为学生提供训练从事有关产品营销能力的机会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为学生提供训练从事收银业务能力的机会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为学生提供训练从事会计核算、财务管理能力的机会等</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5人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7</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临汾市梦睿矿山设备有限公司</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为学生提供训练从事有关产品营销能力的机会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为学生提供训练从事收银业务能力的机会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为学生提供训练从事会计核算、财务管理能力的机会等</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8</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临汾市尧都区芳林润安全技术咨询服务有限公司</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为学生提供训练从事有关产品营销能力的机会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为学生提供训练从事收银业务能力的机会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为学生提供训练从事会计核算、财务管理能力的机会等</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9</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临汾市求学人网络科技有限公司</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为学生提供训练从事有关产品营销能力的机会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为学生提供训练从事收银业务能力的机会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为学生提供训练从事会计核算、财务管理能力的机会等</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15人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315" w:firstLineChars="15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10</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华夏银行临汾分行  </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为学生提供见习办理银行柜台现金业务的场所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为学生提供训练银行理财产品营销能力的机会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为学生提供训练从事营业现场管理和服务能力的机会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为学生提供参与存贷款活动的机会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为教师提供企业锻炼的机会  </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ind w:firstLine="735" w:firstLineChars="350"/>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ind w:firstLine="630" w:firstLineChars="300"/>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315" w:firstLineChars="15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11</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人寿保险公司临汾分公司  </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为学生提供训练从事保险营销能力提升的机会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为学生提供训练从事保险客户服务能力提升的机会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为学生提供训练从事保险公司内勤服务能力提升的机会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为学生提供训练从事保险核保、理赔能力提升的机会  </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ind w:firstLine="420" w:firstLineChars="200"/>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30人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ind w:firstLine="525" w:firstLineChars="250"/>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360" w:lineRule="auto"/>
              <w:ind w:firstLine="315" w:firstLineChars="150"/>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12</w:t>
            </w:r>
          </w:p>
        </w:tc>
        <w:tc>
          <w:tcPr>
            <w:tcW w:w="337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国泰安证券公司  </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为学生提供训练从事证券产品营销能力的机会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为学生提供训练从事证券客户服务的机会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为学生提供训练从事证券公司内勤服务的机会  </w:t>
            </w:r>
          </w:p>
          <w:p>
            <w:pPr>
              <w:widowControl/>
              <w:adjustRightInd w:val="0"/>
              <w:snapToGrid w:val="0"/>
              <w:spacing w:line="360" w:lineRule="auto"/>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为学生提供训练从事证券公司证券投资技能提升的机会  </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ind w:firstLine="420" w:firstLineChars="200"/>
              <w:jc w:val="center"/>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20人</w:t>
            </w:r>
          </w:p>
        </w:tc>
        <w:tc>
          <w:tcPr>
            <w:tcW w:w="19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ind w:firstLine="525" w:firstLineChars="250"/>
              <w:textAlignment w:val="center"/>
              <w:rPr>
                <w:rFonts w:asciiTheme="minorEastAsia" w:hAnsiTheme="minorEastAsia" w:eastAsiaTheme="minorEastAsia" w:cstheme="minorEastAsia"/>
                <w:color w:val="000000" w:themeColor="text1"/>
                <w:szCs w:val="21"/>
              </w:rPr>
            </w:pPr>
            <w:r>
              <w:rPr>
                <w:rFonts w:hint="eastAsia" w:asciiTheme="minorEastAsia" w:hAnsiTheme="minorEastAsia" w:eastAsiaTheme="minorEastAsia" w:cstheme="minorEastAsia"/>
                <w:color w:val="000000" w:themeColor="text1"/>
                <w:szCs w:val="21"/>
              </w:rPr>
              <w:t>商业</w:t>
            </w:r>
          </w:p>
        </w:tc>
      </w:tr>
    </w:tbl>
    <w:p>
      <w:pPr>
        <w:adjustRightInd w:val="0"/>
        <w:spacing w:line="360" w:lineRule="auto"/>
        <w:rPr>
          <w:rFonts w:cs="仿宋" w:asciiTheme="minorEastAsia" w:hAnsiTheme="minorEastAsia" w:eastAsiaTheme="minorEastAsia"/>
          <w:color w:val="000000" w:themeColor="text1"/>
          <w:szCs w:val="21"/>
        </w:rPr>
      </w:pPr>
    </w:p>
    <w:p>
      <w:pPr>
        <w:adjustRightInd w:val="0"/>
        <w:spacing w:line="360" w:lineRule="auto"/>
        <w:ind w:left="420" w:leftChars="200"/>
        <w:outlineLvl w:val="1"/>
        <w:rPr>
          <w:rFonts w:cs="仿宋" w:asciiTheme="minorEastAsia" w:hAnsiTheme="minorEastAsia" w:eastAsiaTheme="minorEastAsia"/>
          <w:b/>
          <w:color w:val="000000" w:themeColor="text1"/>
          <w:szCs w:val="21"/>
        </w:rPr>
      </w:pPr>
      <w:bookmarkStart w:id="52" w:name="_Toc6023"/>
      <w:bookmarkStart w:id="53" w:name="_Toc31232"/>
      <w:r>
        <w:rPr>
          <w:rFonts w:hint="eastAsia" w:cs="仿宋" w:asciiTheme="minorEastAsia" w:hAnsiTheme="minorEastAsia" w:eastAsiaTheme="minorEastAsia"/>
          <w:b/>
          <w:color w:val="000000" w:themeColor="text1"/>
          <w:szCs w:val="21"/>
        </w:rPr>
        <w:t>（三）教学资源保障</w:t>
      </w:r>
      <w:bookmarkEnd w:id="52"/>
      <w:bookmarkEnd w:id="53"/>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本专业教学资源应能够满足学生专业学习、教师专业教学研究、教学实施和社会服务需要。</w:t>
      </w:r>
    </w:p>
    <w:p>
      <w:pPr>
        <w:numPr>
          <w:ilvl w:val="0"/>
          <w:numId w:val="6"/>
        </w:numPr>
        <w:spacing w:line="360" w:lineRule="auto"/>
        <w:ind w:firstLine="420" w:firstLineChars="200"/>
        <w:outlineLvl w:val="2"/>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教材选用要求</w:t>
      </w:r>
    </w:p>
    <w:p>
      <w:pPr>
        <w:spacing w:line="360" w:lineRule="auto"/>
        <w:ind w:firstLine="525" w:firstLineChars="25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思政课按规定统一使用马克思主义理论研究和建设工程思政课、专业课教材。其他课程优选国家规划教材，近三年校企合作编写的校本教材。</w:t>
      </w:r>
      <w:r>
        <w:rPr>
          <w:rFonts w:cs="仿宋" w:asciiTheme="minorEastAsia" w:hAnsiTheme="minorEastAsia" w:eastAsiaTheme="minorEastAsia"/>
          <w:color w:val="000000" w:themeColor="text1"/>
          <w:szCs w:val="21"/>
        </w:rPr>
        <w:t xml:space="preserve"> </w:t>
      </w:r>
    </w:p>
    <w:p>
      <w:pPr>
        <w:numPr>
          <w:ilvl w:val="0"/>
          <w:numId w:val="6"/>
        </w:numPr>
        <w:spacing w:line="360" w:lineRule="auto"/>
        <w:ind w:right="-82" w:rightChars="-39" w:firstLine="420" w:firstLineChars="200"/>
        <w:outlineLvl w:val="2"/>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多媒体教学资源</w:t>
      </w:r>
    </w:p>
    <w:p>
      <w:pPr>
        <w:spacing w:line="360" w:lineRule="auto"/>
        <w:ind w:right="-82" w:rightChars="-39"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在保证全日制普通学历教育基本属性的基础上，提倡翻转课堂、理实一体化、线上线下混合教学等模式，满足不同类型生源的学习需求。因此，本专业必须准备充足的教学资源。</w:t>
      </w:r>
    </w:p>
    <w:p>
      <w:pPr>
        <w:spacing w:line="360" w:lineRule="auto"/>
        <w:ind w:left="302" w:leftChars="144" w:firstLine="210" w:firstLineChars="100"/>
        <w:jc w:val="center"/>
        <w:rPr>
          <w:rFonts w:cs="Arial"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表17、  本专业教学资源一览表</w:t>
      </w:r>
    </w:p>
    <w:tbl>
      <w:tblPr>
        <w:tblStyle w:val="19"/>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6"/>
        <w:gridCol w:w="6207"/>
        <w:gridCol w:w="1196"/>
        <w:gridCol w:w="1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541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课程名称</w:t>
            </w:r>
          </w:p>
        </w:tc>
        <w:tc>
          <w:tcPr>
            <w:tcW w:w="62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资源名称</w:t>
            </w:r>
          </w:p>
        </w:tc>
        <w:tc>
          <w:tcPr>
            <w:tcW w:w="119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资源数量</w:t>
            </w:r>
          </w:p>
        </w:tc>
        <w:tc>
          <w:tcPr>
            <w:tcW w:w="13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资源来源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541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所有课程</w:t>
            </w:r>
          </w:p>
        </w:tc>
        <w:tc>
          <w:tcPr>
            <w:tcW w:w="6207" w:type="dxa"/>
            <w:vAlign w:val="center"/>
          </w:tcPr>
          <w:p>
            <w:pPr>
              <w:spacing w:after="160" w:line="315" w:lineRule="atLeast"/>
              <w:jc w:val="center"/>
              <w:rPr>
                <w:rFonts w:ascii="Times New Roman" w:hAnsi="Times New Roman"/>
                <w:szCs w:val="21"/>
              </w:rPr>
            </w:pPr>
            <w:r>
              <w:rPr>
                <w:rFonts w:hint="eastAsia"/>
                <w:color w:val="000000"/>
                <w:szCs w:val="21"/>
              </w:rPr>
              <w:t>中国大学MOOC</w:t>
            </w:r>
          </w:p>
          <w:p>
            <w:pPr>
              <w:spacing w:after="160" w:line="315" w:lineRule="atLeast"/>
              <w:jc w:val="center"/>
              <w:rPr>
                <w:rFonts w:ascii="Times New Roman" w:hAnsi="Times New Roman"/>
                <w:szCs w:val="21"/>
              </w:rPr>
            </w:pPr>
            <w:r>
              <w:rPr>
                <w:rFonts w:hint="eastAsia"/>
                <w:color w:val="000000"/>
                <w:szCs w:val="21"/>
              </w:rPr>
              <w:t>http://www.icourse163.org/course/WHU-1001717005#/info</w:t>
            </w:r>
          </w:p>
        </w:tc>
        <w:tc>
          <w:tcPr>
            <w:tcW w:w="119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13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541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《基础会计》《财务会计》《纳税计算与申报》《成本会计》《会计综合实训》</w:t>
            </w:r>
          </w:p>
        </w:tc>
        <w:tc>
          <w:tcPr>
            <w:tcW w:w="62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中华财会网</w:t>
            </w:r>
          </w:p>
        </w:tc>
        <w:tc>
          <w:tcPr>
            <w:tcW w:w="119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13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541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《金融基础》《投资理财》《证券投资》</w:t>
            </w:r>
          </w:p>
        </w:tc>
        <w:tc>
          <w:tcPr>
            <w:tcW w:w="62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中国财经信息网</w:t>
            </w:r>
          </w:p>
        </w:tc>
        <w:tc>
          <w:tcPr>
            <w:tcW w:w="119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13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541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《金融基础》《投资理财》《证券投资》</w:t>
            </w:r>
          </w:p>
        </w:tc>
        <w:tc>
          <w:tcPr>
            <w:tcW w:w="62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《中国财经报》网</w:t>
            </w:r>
          </w:p>
        </w:tc>
        <w:tc>
          <w:tcPr>
            <w:tcW w:w="119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13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541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《基础会计》《财务会计》《纳税计算与申报》《成本会计》《会计综合实训》</w:t>
            </w:r>
          </w:p>
        </w:tc>
        <w:tc>
          <w:tcPr>
            <w:tcW w:w="62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智慧职教--会计专业教学资源库</w:t>
            </w:r>
          </w:p>
        </w:tc>
        <w:tc>
          <w:tcPr>
            <w:tcW w:w="119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13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541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《基础会计》《财务会计》《纳税计算与申报》《成本会计》《会计综合实训》</w:t>
            </w:r>
          </w:p>
        </w:tc>
        <w:tc>
          <w:tcPr>
            <w:tcW w:w="62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中华会计网校</w:t>
            </w:r>
          </w:p>
        </w:tc>
        <w:tc>
          <w:tcPr>
            <w:tcW w:w="119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p>
        </w:tc>
        <w:tc>
          <w:tcPr>
            <w:tcW w:w="13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541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《基础会计电子实训》《财务会计电子实训》《税务会计电子实训》《成本会计电子实训》《会计分岗电子实训》《虚拟报税电子实训》《VBSE综合实训》、《财务决策实训》</w:t>
            </w:r>
          </w:p>
        </w:tc>
        <w:tc>
          <w:tcPr>
            <w:tcW w:w="62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校内网络资源平台</w:t>
            </w:r>
          </w:p>
        </w:tc>
        <w:tc>
          <w:tcPr>
            <w:tcW w:w="119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8</w:t>
            </w:r>
          </w:p>
        </w:tc>
        <w:tc>
          <w:tcPr>
            <w:tcW w:w="13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541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《基础会计》《财务会计》《纳税计算与申报》《成本会计》《会计综合实训》</w:t>
            </w:r>
          </w:p>
        </w:tc>
        <w:tc>
          <w:tcPr>
            <w:tcW w:w="62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Arial" w:asciiTheme="minorEastAsia" w:hAnsiTheme="minorEastAsia" w:eastAsiaTheme="minorEastAsia"/>
                <w:color w:val="000000" w:themeColor="text1"/>
                <w:szCs w:val="21"/>
              </w:rPr>
              <w:t>精品资源共享课</w:t>
            </w:r>
          </w:p>
        </w:tc>
        <w:tc>
          <w:tcPr>
            <w:tcW w:w="1196"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5</w:t>
            </w:r>
          </w:p>
        </w:tc>
        <w:tc>
          <w:tcPr>
            <w:tcW w:w="1355"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学院制作</w:t>
            </w:r>
          </w:p>
        </w:tc>
      </w:tr>
    </w:tbl>
    <w:p>
      <w:pPr>
        <w:tabs>
          <w:tab w:val="left" w:pos="2632"/>
        </w:tabs>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ab/>
      </w:r>
    </w:p>
    <w:p>
      <w:pPr>
        <w:adjustRightInd w:val="0"/>
        <w:spacing w:line="360" w:lineRule="auto"/>
        <w:outlineLvl w:val="1"/>
        <w:rPr>
          <w:rFonts w:cs="仿宋" w:asciiTheme="minorEastAsia" w:hAnsiTheme="minorEastAsia" w:eastAsiaTheme="minorEastAsia"/>
          <w:b/>
          <w:color w:val="000000" w:themeColor="text1"/>
          <w:szCs w:val="21"/>
        </w:rPr>
      </w:pPr>
      <w:bookmarkStart w:id="54" w:name="_Toc12947"/>
      <w:bookmarkStart w:id="55" w:name="_Toc21902"/>
      <w:r>
        <w:rPr>
          <w:rFonts w:hint="eastAsia" w:cs="仿宋" w:asciiTheme="minorEastAsia" w:hAnsiTheme="minorEastAsia" w:eastAsiaTheme="minorEastAsia"/>
          <w:b/>
          <w:color w:val="000000" w:themeColor="text1"/>
          <w:szCs w:val="21"/>
        </w:rPr>
        <w:t>（四）教学改革</w:t>
      </w:r>
      <w:bookmarkEnd w:id="54"/>
      <w:bookmarkEnd w:id="55"/>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教师要依据专业培养目标、课程教学要求、学生能力与教学资源，采用适当的教学模式、方式、方法，以达成预期教学目标。倡导因材施教、因需施教，鼓励创新教学模式、方法和策略。</w:t>
      </w:r>
    </w:p>
    <w:p>
      <w:pPr>
        <w:adjustRightInd w:val="0"/>
        <w:spacing w:line="360" w:lineRule="auto"/>
        <w:ind w:firstLine="413" w:firstLineChars="196"/>
        <w:outlineLvl w:val="2"/>
        <w:rPr>
          <w:rFonts w:cs="仿宋" w:asciiTheme="minorEastAsia" w:hAnsiTheme="minorEastAsia" w:eastAsiaTheme="minorEastAsia"/>
          <w:b/>
          <w:color w:val="000000" w:themeColor="text1"/>
          <w:szCs w:val="21"/>
        </w:rPr>
      </w:pPr>
      <w:r>
        <w:rPr>
          <w:rFonts w:hint="eastAsia" w:cs="仿宋" w:asciiTheme="minorEastAsia" w:hAnsiTheme="minorEastAsia" w:eastAsiaTheme="minorEastAsia"/>
          <w:b/>
          <w:color w:val="000000" w:themeColor="text1"/>
          <w:szCs w:val="21"/>
        </w:rPr>
        <w:t>1.教学模式改革</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针对扩招生源特点，本专业课程教学组织方式和学习方式主要包括但不限于以下模式：</w:t>
      </w:r>
      <w:r>
        <w:rPr>
          <w:rFonts w:cs="仿宋" w:asciiTheme="minorEastAsia" w:hAnsiTheme="minorEastAsia" w:eastAsiaTheme="minorEastAsia"/>
          <w:color w:val="000000" w:themeColor="text1"/>
          <w:szCs w:val="21"/>
        </w:rPr>
        <w:t xml:space="preserve"> </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 以在校脱产学习为主的教学模式。应往届高中毕业生、中职毕业生等非在岗学生按可采用该模式，在校学习和生活，要单独编班，按全日制在校生模式组织教学，统一管理。</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（2）“工学交替—节假日集中教学模式”。利用周末或节假期间在校集中授课，单独编班，集中授课时数严格按照培养方案规定和要求，确保授课的系统性和完整性。</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3）“线上和线下结合的教学模式”。对选择该模式的学生单独编班，按培养方案中规定的课程，依托学校网络课程中心或平台的课程进行线上学习与辅导，同时利用节假日或工休进行线下理论教学和技能集训，线下集中授课和集训时数不得少于培养方案规定时数。</w:t>
      </w:r>
    </w:p>
    <w:p>
      <w:pPr>
        <w:adjustRightInd w:val="0"/>
        <w:spacing w:line="360" w:lineRule="auto"/>
        <w:ind w:firstLine="422" w:firstLineChars="200"/>
        <w:outlineLvl w:val="2"/>
        <w:rPr>
          <w:rFonts w:cs="仿宋" w:asciiTheme="minorEastAsia" w:hAnsiTheme="minorEastAsia" w:eastAsiaTheme="minorEastAsia"/>
          <w:b/>
          <w:color w:val="000000" w:themeColor="text1"/>
          <w:szCs w:val="21"/>
        </w:rPr>
      </w:pPr>
      <w:r>
        <w:rPr>
          <w:rFonts w:hint="eastAsia" w:cs="仿宋" w:asciiTheme="minorEastAsia" w:hAnsiTheme="minorEastAsia" w:eastAsiaTheme="minorEastAsia"/>
          <w:b/>
          <w:color w:val="000000" w:themeColor="text1"/>
          <w:szCs w:val="21"/>
        </w:rPr>
        <w:t>2.教学方式和方法改革</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根据本专业特点要积极普及项目教学、案例教学、情境教学、模块化教学等教学方式，广泛运用启发式、探究式、讨论式、参与式等教学方法，以提高教育教学效果。</w:t>
      </w:r>
    </w:p>
    <w:p>
      <w:pPr>
        <w:adjustRightInd w:val="0"/>
        <w:spacing w:line="360" w:lineRule="auto"/>
        <w:ind w:firstLine="422" w:firstLineChars="200"/>
        <w:rPr>
          <w:rFonts w:cs="仿宋" w:asciiTheme="minorEastAsia" w:hAnsiTheme="minorEastAsia" w:eastAsiaTheme="minorEastAsia"/>
          <w:b/>
          <w:color w:val="000000" w:themeColor="text1"/>
          <w:szCs w:val="21"/>
        </w:rPr>
      </w:pPr>
    </w:p>
    <w:p>
      <w:pPr>
        <w:spacing w:line="360" w:lineRule="auto"/>
        <w:jc w:val="center"/>
        <w:rPr>
          <w:rFonts w:cs="仿宋" w:asciiTheme="minorEastAsia" w:hAnsiTheme="minorEastAsia" w:eastAsiaTheme="minorEastAsia"/>
          <w:b/>
          <w:color w:val="000000" w:themeColor="text1"/>
          <w:szCs w:val="21"/>
        </w:rPr>
      </w:pPr>
      <w:r>
        <w:rPr>
          <w:rFonts w:hint="eastAsia" w:cs="仿宋" w:asciiTheme="minorEastAsia" w:hAnsiTheme="minorEastAsia" w:eastAsiaTheme="minorEastAsia"/>
          <w:b/>
          <w:color w:val="000000" w:themeColor="text1"/>
          <w:szCs w:val="21"/>
        </w:rPr>
        <w:t>表18、教学方式和方法一览表</w:t>
      </w:r>
    </w:p>
    <w:tbl>
      <w:tblPr>
        <w:tblStyle w:val="19"/>
        <w:tblW w:w="1335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84"/>
        <w:gridCol w:w="5116"/>
        <w:gridCol w:w="5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b/>
                <w:color w:val="000000" w:themeColor="text1"/>
                <w:szCs w:val="21"/>
              </w:rPr>
            </w:pPr>
            <w:r>
              <w:rPr>
                <w:rFonts w:hint="eastAsia" w:cs="仿宋" w:asciiTheme="minorEastAsia" w:hAnsiTheme="minorEastAsia" w:eastAsiaTheme="minorEastAsia"/>
                <w:b/>
                <w:color w:val="000000" w:themeColor="text1"/>
                <w:szCs w:val="21"/>
              </w:rPr>
              <w:t>学习模块</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b/>
                <w:color w:val="000000" w:themeColor="text1"/>
                <w:szCs w:val="21"/>
              </w:rPr>
            </w:pPr>
            <w:r>
              <w:rPr>
                <w:rFonts w:hint="eastAsia" w:cs="仿宋" w:asciiTheme="minorEastAsia" w:hAnsiTheme="minorEastAsia" w:eastAsiaTheme="minorEastAsia"/>
                <w:b/>
                <w:color w:val="000000" w:themeColor="text1"/>
                <w:szCs w:val="21"/>
              </w:rPr>
              <w:t>教学方式</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b/>
                <w:color w:val="000000" w:themeColor="text1"/>
                <w:szCs w:val="21"/>
              </w:rPr>
            </w:pPr>
            <w:r>
              <w:rPr>
                <w:rFonts w:hint="eastAsia" w:cs="仿宋" w:asciiTheme="minorEastAsia" w:hAnsiTheme="minorEastAsia" w:eastAsiaTheme="minorEastAsia"/>
                <w:b/>
                <w:color w:val="000000" w:themeColor="text1"/>
                <w:szCs w:val="21"/>
              </w:rPr>
              <w:t>教学方法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实践和活动模块</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项目教学、案例教学、情境教学</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专业技能课程</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项目教学、案例教学、情境教学、模块化教学</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文化基础课程</w:t>
            </w:r>
          </w:p>
        </w:tc>
        <w:tc>
          <w:tcPr>
            <w:tcW w:w="5116" w:type="dxa"/>
            <w:tcBorders>
              <w:right w:val="single" w:color="auto" w:sz="4" w:space="0"/>
            </w:tcBorders>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案例教学、情境教学</w:t>
            </w:r>
          </w:p>
        </w:tc>
        <w:tc>
          <w:tcPr>
            <w:tcW w:w="5157" w:type="dxa"/>
            <w:tcBorders>
              <w:left w:val="single" w:color="auto" w:sz="4" w:space="0"/>
            </w:tcBorders>
            <w:vAlign w:val="center"/>
          </w:tcPr>
          <w:p>
            <w:pPr>
              <w:spacing w:line="360" w:lineRule="auto"/>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启发式、探究式、讨论式、参与式</w:t>
            </w:r>
          </w:p>
        </w:tc>
      </w:tr>
    </w:tbl>
    <w:p>
      <w:pPr>
        <w:adjustRightInd w:val="0"/>
        <w:spacing w:line="360" w:lineRule="auto"/>
        <w:ind w:firstLine="422" w:firstLineChars="200"/>
        <w:outlineLvl w:val="2"/>
        <w:rPr>
          <w:rFonts w:cs="仿宋" w:asciiTheme="minorEastAsia" w:hAnsiTheme="minorEastAsia" w:eastAsiaTheme="minorEastAsia"/>
          <w:b/>
          <w:color w:val="000000" w:themeColor="text1"/>
          <w:szCs w:val="21"/>
        </w:rPr>
      </w:pPr>
      <w:r>
        <w:rPr>
          <w:rFonts w:hint="eastAsia" w:cs="仿宋" w:asciiTheme="minorEastAsia" w:hAnsiTheme="minorEastAsia" w:eastAsiaTheme="minorEastAsia"/>
          <w:b/>
          <w:color w:val="000000" w:themeColor="text1"/>
          <w:szCs w:val="21"/>
        </w:rPr>
        <w:t>3.教学评价改革</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教学评价是依据教学目标对教学过程及结果进行价值判断并为教学决策服务的活动，教学评价是研究教师的教和学生的学的价值的过程，这里的教学评价主指对学员学习态度、学习行为和学习效果的评价。</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对学生的学业考核评价应体现评价主体、评价方式、评价过程的多元化，即教师的评价、学生的相互评价与自我评价相结合，校内评价与校外评价（学员单位评价）的结合，职业技能鉴定与学业考核结合，过程评价和结果评价结合。过程性评价应以学习态度、完成作业情况、学习效果等多方面对学生在整个学习过程中的表现进行综合测评；结果性评价要从学生知识点的掌握、技能的熟练程度、完成任务的质量等方面进行评价。不仅关注学生对知识的理解和技能的掌握，更要关注在实践中应用知识与解决实际问题的能力水平。重视规范操作、安全文明生产的职业素养的形成，以及节约能源、节约原材料与爱护设备工具、保护环境等意识和观念的树立，体现评价标准、评价主体、评价方式、评价过程的多元化，评价方式可以采用观察、口试、笔试、顶岗操作、职业技能大赛、职业资格鉴定等评价方式。</w:t>
      </w:r>
    </w:p>
    <w:p>
      <w:pPr>
        <w:pStyle w:val="37"/>
        <w:ind w:right="-82" w:rightChars="-39" w:firstLine="413" w:firstLineChars="196"/>
        <w:rPr>
          <w:rFonts w:cs="仿宋" w:asciiTheme="minorEastAsia" w:hAnsiTheme="minorEastAsia" w:eastAsiaTheme="minorEastAsia"/>
          <w:color w:val="000000" w:themeColor="text1"/>
          <w:sz w:val="21"/>
          <w:szCs w:val="21"/>
        </w:rPr>
      </w:pPr>
      <w:r>
        <w:rPr>
          <w:rFonts w:hint="eastAsia" w:cs="仿宋" w:asciiTheme="minorEastAsia" w:hAnsiTheme="minorEastAsia" w:eastAsiaTheme="minorEastAsia"/>
          <w:color w:val="000000" w:themeColor="text1"/>
          <w:sz w:val="21"/>
          <w:szCs w:val="21"/>
        </w:rPr>
        <w:t>1）分类课程考核评价（结合课程的考核评价方式）</w:t>
      </w:r>
    </w:p>
    <w:p>
      <w:pPr>
        <w:pStyle w:val="37"/>
        <w:ind w:right="-82" w:rightChars="-39" w:firstLine="0" w:firstLineChars="0"/>
        <w:jc w:val="center"/>
        <w:rPr>
          <w:rFonts w:cs="仿宋" w:asciiTheme="minorEastAsia" w:hAnsiTheme="minorEastAsia" w:eastAsiaTheme="minorEastAsia"/>
          <w:color w:val="000000" w:themeColor="text1"/>
          <w:sz w:val="21"/>
          <w:szCs w:val="21"/>
        </w:rPr>
      </w:pPr>
      <w:r>
        <w:rPr>
          <w:rFonts w:hint="eastAsia" w:cs="仿宋" w:asciiTheme="minorEastAsia" w:hAnsiTheme="minorEastAsia" w:eastAsiaTheme="minorEastAsia"/>
          <w:color w:val="000000" w:themeColor="text1"/>
          <w:sz w:val="21"/>
          <w:szCs w:val="21"/>
        </w:rPr>
        <w:t>表19、本专业分类课程考核评价表</w:t>
      </w:r>
    </w:p>
    <w:tbl>
      <w:tblPr>
        <w:tblStyle w:val="19"/>
        <w:tblW w:w="13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2681"/>
        <w:gridCol w:w="878"/>
        <w:gridCol w:w="878"/>
        <w:gridCol w:w="761"/>
        <w:gridCol w:w="634"/>
        <w:gridCol w:w="877"/>
        <w:gridCol w:w="856"/>
        <w:gridCol w:w="703"/>
        <w:gridCol w:w="699"/>
        <w:gridCol w:w="824"/>
        <w:gridCol w:w="155"/>
        <w:gridCol w:w="512"/>
        <w:gridCol w:w="199"/>
        <w:gridCol w:w="539"/>
        <w:gridCol w:w="173"/>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课程</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集中面授</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平台学习</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其它学习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4092" w:type="dxa"/>
            <w:gridSpan w:val="2"/>
            <w:vMerge w:val="continue"/>
          </w:tcPr>
          <w:p>
            <w:pPr>
              <w:pStyle w:val="37"/>
              <w:widowControl w:val="0"/>
              <w:ind w:right="-82" w:rightChars="-39" w:firstLine="0" w:firstLineChars="0"/>
              <w:jc w:val="both"/>
              <w:rPr>
                <w:rFonts w:cs="仿宋" w:asciiTheme="minorEastAsia" w:hAnsiTheme="minorEastAsia" w:eastAsiaTheme="minorEastAsia"/>
                <w:b w:val="0"/>
                <w:color w:val="000000" w:themeColor="text1"/>
                <w:sz w:val="21"/>
                <w:szCs w:val="21"/>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出勤</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作业</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考试</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学习</w:t>
            </w:r>
          </w:p>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时间</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完成作业</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考试</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学习时间</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完成作业</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 w:hRule="atLeast"/>
        </w:trPr>
        <w:tc>
          <w:tcPr>
            <w:tcW w:w="1411" w:type="dxa"/>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文化基础课</w:t>
            </w: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思政课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40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40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体育、军事</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语文、数学</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英语</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公共选修课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411" w:type="dxa"/>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专业</w:t>
            </w:r>
          </w:p>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（技能）课</w:t>
            </w: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专业基础课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30</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专业核心课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100</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30</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411" w:type="dxa"/>
            <w:vMerge w:val="continue"/>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p>
        </w:tc>
        <w:tc>
          <w:tcPr>
            <w:tcW w:w="2681"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专业选修课</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80</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40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979"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11"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712"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c>
          <w:tcPr>
            <w:tcW w:w="1162" w:type="dxa"/>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见习实习</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学员自评20%</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指导教师评价30%</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企业导师评价50%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4092" w:type="dxa"/>
            <w:gridSpan w:val="2"/>
            <w:vMerge w:val="continue"/>
            <w:vAlign w:val="center"/>
          </w:tcPr>
          <w:p>
            <w:pPr>
              <w:pStyle w:val="37"/>
              <w:widowControl w:val="0"/>
              <w:ind w:right="-82" w:rightChars="-39" w:firstLine="630" w:firstLineChars="300"/>
              <w:jc w:val="center"/>
              <w:rPr>
                <w:rFonts w:cs="仿宋" w:asciiTheme="minorEastAsia" w:hAnsiTheme="minorEastAsia" w:eastAsiaTheme="minorEastAsia"/>
                <w:b w:val="0"/>
                <w:color w:val="000000" w:themeColor="text1"/>
                <w:sz w:val="21"/>
                <w:szCs w:val="21"/>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出勤</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见习成果</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见习</w:t>
            </w:r>
          </w:p>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表现</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见习总结</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82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见习</w:t>
            </w:r>
          </w:p>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纪律</w:t>
            </w:r>
          </w:p>
        </w:tc>
        <w:tc>
          <w:tcPr>
            <w:tcW w:w="667"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38"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工作成果</w:t>
            </w:r>
          </w:p>
        </w:tc>
        <w:tc>
          <w:tcPr>
            <w:tcW w:w="1335" w:type="dxa"/>
            <w:gridSpan w:val="2"/>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综合实训</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学员自评20%</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小组互评30%</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指导教师评价50%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4092" w:type="dxa"/>
            <w:gridSpan w:val="2"/>
            <w:vMerge w:val="continue"/>
            <w:vAlign w:val="center"/>
          </w:tcPr>
          <w:p>
            <w:pPr>
              <w:pStyle w:val="37"/>
              <w:widowControl w:val="0"/>
              <w:ind w:right="-82" w:rightChars="-39" w:firstLine="630" w:firstLineChars="300"/>
              <w:jc w:val="center"/>
              <w:rPr>
                <w:rFonts w:cs="仿宋" w:asciiTheme="minorEastAsia" w:hAnsiTheme="minorEastAsia" w:eastAsiaTheme="minorEastAsia"/>
                <w:b w:val="0"/>
                <w:color w:val="000000" w:themeColor="text1"/>
                <w:sz w:val="21"/>
                <w:szCs w:val="21"/>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出勤</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实训成果</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实训</w:t>
            </w:r>
          </w:p>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表现</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实训成果</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82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实训表现</w:t>
            </w:r>
          </w:p>
        </w:tc>
        <w:tc>
          <w:tcPr>
            <w:tcW w:w="667"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38"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实训报告</w:t>
            </w:r>
          </w:p>
        </w:tc>
        <w:tc>
          <w:tcPr>
            <w:tcW w:w="1335" w:type="dxa"/>
            <w:gridSpan w:val="2"/>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4092" w:type="dxa"/>
            <w:gridSpan w:val="2"/>
            <w:vMerge w:val="restart"/>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顶岗实习</w:t>
            </w:r>
          </w:p>
        </w:tc>
        <w:tc>
          <w:tcPr>
            <w:tcW w:w="3151"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学员自评10%</w:t>
            </w:r>
          </w:p>
        </w:tc>
        <w:tc>
          <w:tcPr>
            <w:tcW w:w="3135" w:type="dxa"/>
            <w:gridSpan w:val="4"/>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指导教师评价30%</w:t>
            </w:r>
          </w:p>
        </w:tc>
        <w:tc>
          <w:tcPr>
            <w:tcW w:w="3564" w:type="dxa"/>
            <w:gridSpan w:val="7"/>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企业导师评价60%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4092" w:type="dxa"/>
            <w:gridSpan w:val="2"/>
            <w:vMerge w:val="continue"/>
          </w:tcPr>
          <w:p>
            <w:pPr>
              <w:pStyle w:val="37"/>
              <w:widowControl w:val="0"/>
              <w:ind w:right="-82" w:rightChars="-39" w:firstLine="630" w:firstLineChars="300"/>
              <w:jc w:val="both"/>
              <w:rPr>
                <w:rFonts w:cs="仿宋" w:asciiTheme="minorEastAsia" w:hAnsiTheme="minorEastAsia" w:eastAsiaTheme="minorEastAsia"/>
                <w:b w:val="0"/>
                <w:color w:val="000000" w:themeColor="text1"/>
                <w:sz w:val="21"/>
                <w:szCs w:val="21"/>
              </w:rPr>
            </w:pP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出勤</w:t>
            </w:r>
          </w:p>
        </w:tc>
        <w:tc>
          <w:tcPr>
            <w:tcW w:w="878"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c>
          <w:tcPr>
            <w:tcW w:w="761"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实习成果</w:t>
            </w:r>
          </w:p>
        </w:tc>
        <w:tc>
          <w:tcPr>
            <w:tcW w:w="63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5</w:t>
            </w:r>
          </w:p>
        </w:tc>
        <w:tc>
          <w:tcPr>
            <w:tcW w:w="877"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实习</w:t>
            </w:r>
          </w:p>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表现</w:t>
            </w:r>
          </w:p>
        </w:tc>
        <w:tc>
          <w:tcPr>
            <w:tcW w:w="856"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03"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实习报告</w:t>
            </w:r>
          </w:p>
        </w:tc>
        <w:tc>
          <w:tcPr>
            <w:tcW w:w="699"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10</w:t>
            </w:r>
          </w:p>
        </w:tc>
        <w:tc>
          <w:tcPr>
            <w:tcW w:w="824" w:type="dxa"/>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适应</w:t>
            </w:r>
          </w:p>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环境</w:t>
            </w:r>
          </w:p>
        </w:tc>
        <w:tc>
          <w:tcPr>
            <w:tcW w:w="667"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20</w:t>
            </w:r>
          </w:p>
        </w:tc>
        <w:tc>
          <w:tcPr>
            <w:tcW w:w="738" w:type="dxa"/>
            <w:gridSpan w:val="2"/>
            <w:vAlign w:val="center"/>
          </w:tcPr>
          <w:p>
            <w:pPr>
              <w:pStyle w:val="37"/>
              <w:widowControl w:val="0"/>
              <w:ind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工作能力</w:t>
            </w:r>
          </w:p>
        </w:tc>
        <w:tc>
          <w:tcPr>
            <w:tcW w:w="1335" w:type="dxa"/>
            <w:gridSpan w:val="2"/>
            <w:vAlign w:val="center"/>
          </w:tcPr>
          <w:p>
            <w:pPr>
              <w:pStyle w:val="37"/>
              <w:widowControl w:val="0"/>
              <w:ind w:right="-82" w:rightChars="-39" w:firstLine="0" w:firstLineChars="0"/>
              <w:jc w:val="center"/>
              <w:rPr>
                <w:rFonts w:cs="仿宋" w:asciiTheme="minorEastAsia" w:hAnsiTheme="minorEastAsia" w:eastAsiaTheme="minorEastAsia"/>
                <w:b w:val="0"/>
                <w:color w:val="000000" w:themeColor="text1"/>
                <w:sz w:val="21"/>
                <w:szCs w:val="21"/>
              </w:rPr>
            </w:pPr>
            <w:r>
              <w:rPr>
                <w:rFonts w:hint="eastAsia" w:cs="仿宋" w:asciiTheme="minorEastAsia" w:hAnsiTheme="minorEastAsia" w:eastAsiaTheme="minorEastAsia"/>
                <w:b w:val="0"/>
                <w:color w:val="000000" w:themeColor="text1"/>
                <w:sz w:val="21"/>
                <w:szCs w:val="21"/>
              </w:rPr>
              <w:t>40</w:t>
            </w:r>
          </w:p>
        </w:tc>
      </w:tr>
    </w:tbl>
    <w:p>
      <w:pPr>
        <w:pStyle w:val="37"/>
        <w:ind w:right="-82" w:rightChars="-39" w:firstLine="413" w:firstLineChars="196"/>
        <w:rPr>
          <w:rFonts w:cs="仿宋" w:asciiTheme="minorEastAsia" w:hAnsiTheme="minorEastAsia" w:eastAsiaTheme="minorEastAsia"/>
          <w:color w:val="000000" w:themeColor="text1"/>
          <w:sz w:val="21"/>
          <w:szCs w:val="21"/>
        </w:rPr>
      </w:pPr>
      <w:r>
        <w:rPr>
          <w:rFonts w:hint="eastAsia" w:cs="仿宋" w:asciiTheme="minorEastAsia" w:hAnsiTheme="minorEastAsia" w:eastAsiaTheme="minorEastAsia"/>
          <w:color w:val="000000" w:themeColor="text1"/>
          <w:sz w:val="21"/>
          <w:szCs w:val="21"/>
        </w:rPr>
        <w:t>2）评价标准说明</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w:t>
      </w:r>
      <w:bookmarkStart w:id="56" w:name="_Toc27588"/>
      <w:bookmarkStart w:id="57" w:name="_Toc20600"/>
      <w:r>
        <w:rPr>
          <w:rFonts w:cs="仿宋" w:asciiTheme="minorEastAsia" w:hAnsiTheme="minorEastAsia" w:eastAsiaTheme="minorEastAsia"/>
          <w:color w:val="000000" w:themeColor="text1"/>
          <w:szCs w:val="21"/>
        </w:rPr>
        <w:t>在指导思想上</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针对社会生源</w:t>
      </w:r>
      <w:r>
        <w:rPr>
          <w:rFonts w:cs="仿宋" w:asciiTheme="minorEastAsia" w:hAnsiTheme="minorEastAsia" w:eastAsiaTheme="minorEastAsia"/>
          <w:color w:val="000000" w:themeColor="text1"/>
          <w:szCs w:val="21"/>
        </w:rPr>
        <w:t>要突出评价的发展性功能和激励性功能，重视对学生学习潜能的评价，立足于促进学生的学习和充分发展，为"适合学生的教育"创造有利的支撑环境。</w:t>
      </w:r>
    </w:p>
    <w:p>
      <w:pPr>
        <w:spacing w:line="360" w:lineRule="auto"/>
        <w:ind w:firstLine="420" w:firstLineChars="200"/>
        <w:rPr>
          <w:rFonts w:cs="仿宋" w:asciiTheme="minorEastAsia" w:hAnsiTheme="minorEastAsia" w:eastAsiaTheme="minorEastAsia"/>
          <w:color w:val="000000" w:themeColor="text1"/>
          <w:szCs w:val="21"/>
        </w:rPr>
      </w:pPr>
      <w:r>
        <w:rPr>
          <w:rFonts w:cs="仿宋" w:asciiTheme="minorEastAsia" w:hAnsiTheme="minorEastAsia" w:eastAsiaTheme="minorEastAsia"/>
          <w:color w:val="000000" w:themeColor="text1"/>
          <w:szCs w:val="21"/>
        </w:rPr>
        <w:t>（2）在评价的主体上</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针对社会生源</w:t>
      </w:r>
      <w:r>
        <w:rPr>
          <w:rFonts w:cs="仿宋" w:asciiTheme="minorEastAsia" w:hAnsiTheme="minorEastAsia" w:eastAsiaTheme="minorEastAsia"/>
          <w:color w:val="000000" w:themeColor="text1"/>
          <w:szCs w:val="21"/>
        </w:rPr>
        <w:t>调动学生主动参与评价的积极性，改变评价主体的单一性，实现评价主体的多元化;建立由学生、家长、社会、学校和教师等共同参与的评价机制。</w:t>
      </w:r>
    </w:p>
    <w:p>
      <w:pPr>
        <w:spacing w:line="360" w:lineRule="auto"/>
        <w:ind w:firstLine="420" w:firstLineChars="200"/>
        <w:rPr>
          <w:rFonts w:cs="仿宋" w:asciiTheme="minorEastAsia" w:hAnsiTheme="minorEastAsia" w:eastAsiaTheme="minorEastAsia"/>
          <w:color w:val="000000" w:themeColor="text1"/>
          <w:szCs w:val="21"/>
        </w:rPr>
      </w:pPr>
      <w:r>
        <w:rPr>
          <w:rFonts w:cs="仿宋" w:asciiTheme="minorEastAsia" w:hAnsiTheme="minorEastAsia" w:eastAsiaTheme="minorEastAsia"/>
          <w:color w:val="000000" w:themeColor="text1"/>
          <w:szCs w:val="21"/>
        </w:rPr>
        <w:t>（3）在评价的方法上</w:t>
      </w:r>
    </w:p>
    <w:p>
      <w:pPr>
        <w:spacing w:line="360" w:lineRule="auto"/>
        <w:ind w:firstLine="420" w:firstLineChars="200"/>
        <w:rPr>
          <w:rFonts w:cs="仿宋" w:asciiTheme="minorEastAsia" w:hAnsiTheme="minorEastAsia" w:eastAsiaTheme="minorEastAsia"/>
          <w:color w:val="000000" w:themeColor="text1"/>
          <w:szCs w:val="21"/>
        </w:rPr>
      </w:pPr>
      <w:r>
        <w:rPr>
          <w:rFonts w:cs="仿宋" w:asciiTheme="minorEastAsia" w:hAnsiTheme="minorEastAsia" w:eastAsiaTheme="minorEastAsia"/>
          <w:color w:val="000000" w:themeColor="text1"/>
          <w:szCs w:val="21"/>
        </w:rPr>
        <w:t>①由终结性评价发展为形成性评价，实行多次评价和随时性评价、</w:t>
      </w:r>
      <w:r>
        <w:rPr>
          <w:rFonts w:hint="eastAsia" w:cs="仿宋" w:asciiTheme="minorEastAsia" w:hAnsiTheme="minorEastAsia" w:eastAsiaTheme="minorEastAsia"/>
          <w:color w:val="000000" w:themeColor="text1"/>
          <w:szCs w:val="21"/>
        </w:rPr>
        <w:t>“</w:t>
      </w:r>
      <w:r>
        <w:rPr>
          <w:rFonts w:cs="仿宋" w:asciiTheme="minorEastAsia" w:hAnsiTheme="minorEastAsia" w:eastAsiaTheme="minorEastAsia"/>
          <w:color w:val="000000" w:themeColor="text1"/>
          <w:szCs w:val="21"/>
        </w:rPr>
        <w:t>档案袋</w:t>
      </w:r>
      <w:r>
        <w:rPr>
          <w:rFonts w:hint="eastAsia" w:cs="仿宋" w:asciiTheme="minorEastAsia" w:hAnsiTheme="minorEastAsia" w:eastAsiaTheme="minorEastAsia"/>
          <w:color w:val="000000" w:themeColor="text1"/>
          <w:szCs w:val="21"/>
        </w:rPr>
        <w:t>”</w:t>
      </w:r>
      <w:r>
        <w:rPr>
          <w:rFonts w:cs="仿宋" w:asciiTheme="minorEastAsia" w:hAnsiTheme="minorEastAsia" w:eastAsiaTheme="minorEastAsia"/>
          <w:color w:val="000000" w:themeColor="text1"/>
          <w:szCs w:val="21"/>
        </w:rPr>
        <w:t>式评价等方式，突出过程性;②由定量评价发展到定量和定性相结合的评价，不仅关注学生的分数，更要看学生学习的动机、行为习惯、意志品质等;③由相对评价发展到个人内差异评价。相对评价是通过个体的成绩与同一团体的平均成绩相比较，从而确定其成绩的适当等级的表示方法，也被称作</w:t>
      </w:r>
      <w:r>
        <w:rPr>
          <w:rFonts w:hint="eastAsia" w:cs="仿宋" w:asciiTheme="minorEastAsia" w:hAnsiTheme="minorEastAsia" w:eastAsiaTheme="minorEastAsia"/>
          <w:color w:val="000000" w:themeColor="text1"/>
          <w:szCs w:val="21"/>
        </w:rPr>
        <w:t>“</w:t>
      </w:r>
      <w:r>
        <w:rPr>
          <w:rFonts w:cs="仿宋" w:asciiTheme="minorEastAsia" w:hAnsiTheme="minorEastAsia" w:eastAsiaTheme="minorEastAsia"/>
          <w:color w:val="000000" w:themeColor="text1"/>
          <w:szCs w:val="21"/>
        </w:rPr>
        <w:t>常模参照评价</w:t>
      </w:r>
      <w:r>
        <w:rPr>
          <w:rFonts w:hint="eastAsia" w:cs="仿宋" w:asciiTheme="minorEastAsia" w:hAnsiTheme="minorEastAsia" w:eastAsiaTheme="minorEastAsia"/>
          <w:color w:val="000000" w:themeColor="text1"/>
          <w:szCs w:val="21"/>
        </w:rPr>
        <w:t>”</w:t>
      </w:r>
      <w:r>
        <w:rPr>
          <w:rFonts w:cs="仿宋" w:asciiTheme="minorEastAsia" w:hAnsiTheme="minorEastAsia" w:eastAsiaTheme="minorEastAsia"/>
          <w:color w:val="000000" w:themeColor="text1"/>
          <w:szCs w:val="21"/>
        </w:rPr>
        <w:t>，这是我们最常用的评价方法。这种评价缺乏对于个人努力状况和进步程度的适当评价，不利于肯定学生个体的成绩。个人内差异评价是对学生个体同一学科内的不同方面或不同学科之间成绩与能力差异的横向比较和评价，以及对个体两个或多个时刻内的成就表现出的前后纵向评价，这种评价可以为教师全面了解学生提供准确和动态的依据，也可以使学生更清晰地掌握自己的实际情况，利于激发他们学习的动力、挖掘学习潜能、改进学习策略等;④由绝对性评价发展到差异性评价。绝对评价是对学生是否达到了目标的要求或</w:t>
      </w:r>
      <w:r>
        <w:rPr>
          <w:rFonts w:hint="eastAsia" w:cs="仿宋" w:asciiTheme="minorEastAsia" w:hAnsiTheme="minorEastAsia" w:eastAsiaTheme="minorEastAsia"/>
          <w:color w:val="000000" w:themeColor="text1"/>
          <w:szCs w:val="21"/>
        </w:rPr>
        <w:t>“</w:t>
      </w:r>
      <w:r>
        <w:rPr>
          <w:rFonts w:cs="仿宋" w:asciiTheme="minorEastAsia" w:hAnsiTheme="minorEastAsia" w:eastAsiaTheme="minorEastAsia"/>
          <w:color w:val="000000" w:themeColor="text1"/>
          <w:szCs w:val="21"/>
        </w:rPr>
        <w:t>达标</w:t>
      </w:r>
      <w:r>
        <w:rPr>
          <w:rFonts w:hint="eastAsia" w:cs="仿宋" w:asciiTheme="minorEastAsia" w:hAnsiTheme="minorEastAsia" w:eastAsiaTheme="minorEastAsia"/>
          <w:color w:val="000000" w:themeColor="text1"/>
          <w:szCs w:val="21"/>
        </w:rPr>
        <w:t>”</w:t>
      </w:r>
      <w:r>
        <w:rPr>
          <w:rFonts w:cs="仿宋" w:asciiTheme="minorEastAsia" w:hAnsiTheme="minorEastAsia" w:eastAsiaTheme="minorEastAsia"/>
          <w:color w:val="000000" w:themeColor="text1"/>
          <w:szCs w:val="21"/>
        </w:rPr>
        <w:t>的程度所作出的评价，也被称为</w:t>
      </w:r>
      <w:r>
        <w:rPr>
          <w:rFonts w:hint="eastAsia" w:cs="仿宋" w:asciiTheme="minorEastAsia" w:hAnsiTheme="minorEastAsia" w:eastAsiaTheme="minorEastAsia"/>
          <w:color w:val="000000" w:themeColor="text1"/>
          <w:szCs w:val="21"/>
        </w:rPr>
        <w:t>“</w:t>
      </w:r>
      <w:r>
        <w:fldChar w:fldCharType="begin"/>
      </w:r>
      <w:r>
        <w:instrText xml:space="preserve"> HYPERLINK "https://baike.so.com/doc/4615995-4828336.html" \t "_blank" </w:instrText>
      </w:r>
      <w:r>
        <w:fldChar w:fldCharType="separate"/>
      </w:r>
      <w:r>
        <w:rPr>
          <w:rFonts w:cs="仿宋" w:asciiTheme="minorEastAsia" w:hAnsiTheme="minorEastAsia" w:eastAsiaTheme="minorEastAsia"/>
          <w:color w:val="000000" w:themeColor="text1"/>
          <w:szCs w:val="21"/>
        </w:rPr>
        <w:t>标准参照评价</w:t>
      </w:r>
      <w:r>
        <w:rPr>
          <w:rFonts w:cs="仿宋" w:asciiTheme="minorEastAsia" w:hAnsiTheme="minorEastAsia" w:eastAsiaTheme="minorEastAsia"/>
          <w:color w:val="000000" w:themeColor="text1"/>
          <w:szCs w:val="21"/>
        </w:rPr>
        <w:fldChar w:fldCharType="end"/>
      </w:r>
      <w:r>
        <w:rPr>
          <w:rFonts w:hint="eastAsia" w:cs="仿宋" w:asciiTheme="minorEastAsia" w:hAnsiTheme="minorEastAsia" w:eastAsiaTheme="minorEastAsia"/>
          <w:color w:val="000000" w:themeColor="text1"/>
          <w:szCs w:val="21"/>
        </w:rPr>
        <w:t>”</w:t>
      </w:r>
      <w:r>
        <w:rPr>
          <w:rFonts w:cs="仿宋" w:asciiTheme="minorEastAsia" w:hAnsiTheme="minorEastAsia" w:eastAsiaTheme="minorEastAsia"/>
          <w:color w:val="000000" w:themeColor="text1"/>
          <w:szCs w:val="21"/>
        </w:rPr>
        <w:t>。这种评价过于重视统一性，忽视了评价的差异性和层次性。我们提倡对不同的学生采用不同的评价标准和方法，以促进所有学生都在</w:t>
      </w:r>
      <w:r>
        <w:rPr>
          <w:rFonts w:hint="eastAsia" w:cs="仿宋" w:asciiTheme="minorEastAsia" w:hAnsiTheme="minorEastAsia" w:eastAsiaTheme="minorEastAsia"/>
          <w:color w:val="000000" w:themeColor="text1"/>
          <w:szCs w:val="21"/>
        </w:rPr>
        <w:t>“</w:t>
      </w:r>
      <w:r>
        <w:rPr>
          <w:rFonts w:cs="仿宋" w:asciiTheme="minorEastAsia" w:hAnsiTheme="minorEastAsia" w:eastAsiaTheme="minorEastAsia"/>
          <w:color w:val="000000" w:themeColor="text1"/>
          <w:szCs w:val="21"/>
        </w:rPr>
        <w:t>最近发展区</w:t>
      </w:r>
      <w:r>
        <w:rPr>
          <w:rFonts w:hint="eastAsia" w:cs="仿宋" w:asciiTheme="minorEastAsia" w:hAnsiTheme="minorEastAsia" w:eastAsiaTheme="minorEastAsia"/>
          <w:color w:val="000000" w:themeColor="text1"/>
          <w:szCs w:val="21"/>
        </w:rPr>
        <w:t>”</w:t>
      </w:r>
      <w:r>
        <w:rPr>
          <w:rFonts w:cs="仿宋" w:asciiTheme="minorEastAsia" w:hAnsiTheme="minorEastAsia" w:eastAsiaTheme="minorEastAsia"/>
          <w:color w:val="000000" w:themeColor="text1"/>
          <w:szCs w:val="21"/>
        </w:rPr>
        <w:t>上获得充分的发展。</w:t>
      </w:r>
    </w:p>
    <w:p>
      <w:pPr>
        <w:spacing w:line="360" w:lineRule="auto"/>
        <w:ind w:right="-82" w:rightChars="-39" w:firstLine="480"/>
        <w:rPr>
          <w:rFonts w:cs="仿宋" w:asciiTheme="minorEastAsia" w:hAnsiTheme="minorEastAsia" w:eastAsiaTheme="minorEastAsia"/>
          <w:b/>
          <w:color w:val="000000" w:themeColor="text1"/>
          <w:szCs w:val="21"/>
        </w:rPr>
      </w:pPr>
      <w:r>
        <w:rPr>
          <w:rFonts w:hint="eastAsia" w:cs="仿宋" w:asciiTheme="minorEastAsia" w:hAnsiTheme="minorEastAsia" w:eastAsiaTheme="minorEastAsia"/>
          <w:b/>
          <w:color w:val="000000" w:themeColor="text1"/>
          <w:szCs w:val="21"/>
        </w:rPr>
        <w:t>（五）教育教学质量保障措施</w:t>
      </w:r>
      <w:bookmarkEnd w:id="56"/>
      <w:bookmarkEnd w:id="57"/>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1.学院领导高度重视，成立专门机构</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学院要把面向高职扩招学生的教育教学工作作为学校“一把手”工程，落实主体责任，明确了学校党委书记是第一责任人，成立了负责高职扩招学生的专门机构，明确了责任人，各班级选派了责任心强的教师担任班主任。</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2.认真进行学情分析，进行针对性管理</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针对社会生源在生活背景、从业经历、学习基础、年龄阶段、认知特点、发展需要等方面存在较大差异，入学接受高等职业教育对学校的教育教学、管理模式提出了新的挑战和要求。学院通过问卷调查、座谈、访谈等形式，对本专业学生学业水平、技术技能基础、信息技术应用能力、学习目的和心理预期、对联合培养企业（学校）的条件要求等方面情况充分调研，深入分析生源学习基础、认知特点、个性需求等，为本专业人才培养方案的制定，专业教学和管理有效实施奠定了基础。要通过多种途径随时了解社会生源学情，持续优化教育教学内容，改进教育教学管理，提高人才培养质量。</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3.加强管理制度建设，规范教学管理</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学院依据制定完善了针对专门制度，以保证专业教育教学管理规范，保证专业人才培养质量不断提高。</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4.成立金融管理专业建设指导委员会</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针对社会生源学情，成立金融管理专业建设指导委员会。专业建设委员会由本专业专业带头人，本专业学术水平和教学管理经验丰富的教师，教学管理人员及其具有相当业务水平和丰富工作经验的行业和企业专家，有关教科研专家，毕业生代表等组成。其职责主要是组织本专业专业建设，制定和修订专业教学计划，编制专业课程标准，课程标准调整，课程监督提出指导性意见和建议；为本专业的师资队伍建设提出指导意见，指导提升实习实训指导教师的教育教学技能，为本专业双师队伍的培养提出指导意见和建议，研究本专业人才培养中突出问题，并探讨制定解决方案，评价教学质量等。</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5.发挥教学督导的作用</w:t>
      </w: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 xml:space="preserve">学校层面成立社会人员教学质量督导组，督导组是在校长直接领导下，具有独立工作职能的机构。他们通过有针对性的对管社会人员教学与管理进行专项检查，深入调查办学点、班级，检查教学、管理等方面的情况，然后为学校的社会人员教学与管理提出意见和建议，对督导的对象进行指导，提供整改建议。 </w:t>
      </w:r>
    </w:p>
    <w:p>
      <w:pPr>
        <w:spacing w:line="360" w:lineRule="auto"/>
        <w:ind w:firstLine="413" w:firstLineChars="196"/>
        <w:rPr>
          <w:rFonts w:asciiTheme="minorEastAsia" w:hAnsiTheme="minorEastAsia" w:eastAsiaTheme="minorEastAsia"/>
          <w:b/>
          <w:color w:val="000000" w:themeColor="text1"/>
          <w:szCs w:val="21"/>
        </w:rPr>
      </w:pPr>
      <w:bookmarkStart w:id="58" w:name="_Toc23342"/>
      <w:bookmarkStart w:id="59" w:name="_Toc24218"/>
      <w:r>
        <w:rPr>
          <w:rFonts w:hint="eastAsia" w:asciiTheme="minorEastAsia" w:hAnsiTheme="minorEastAsia" w:eastAsiaTheme="minorEastAsia"/>
          <w:b/>
          <w:color w:val="000000" w:themeColor="text1"/>
          <w:szCs w:val="21"/>
        </w:rPr>
        <w:t>九、毕业要求</w:t>
      </w:r>
      <w:bookmarkEnd w:id="58"/>
      <w:bookmarkEnd w:id="59"/>
    </w:p>
    <w:p>
      <w:pPr>
        <w:spacing w:line="360" w:lineRule="auto"/>
        <w:ind w:firstLine="420" w:firstLineChars="200"/>
        <w:jc w:val="left"/>
        <w:rPr>
          <w:rFonts w:ascii="宋体" w:hAnsi="宋体" w:cs="仿宋"/>
          <w:bCs/>
          <w:color w:val="000000"/>
          <w:szCs w:val="21"/>
        </w:rPr>
      </w:pPr>
      <w:r>
        <w:rPr>
          <w:rFonts w:hint="eastAsia" w:ascii="宋体" w:hAnsi="宋体" w:cs="仿宋"/>
          <w:bCs/>
          <w:color w:val="000000"/>
          <w:szCs w:val="21"/>
        </w:rPr>
        <w:t>学生在符合规定的招生录取程序、正式注册下还必须符合下列几项要求才能获取毕业文凭：</w:t>
      </w:r>
    </w:p>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b/>
          <w:bCs/>
          <w:color w:val="000000" w:themeColor="text1"/>
          <w:kern w:val="0"/>
          <w:szCs w:val="21"/>
        </w:rPr>
        <w:t>表20、学生毕业要求一览表</w:t>
      </w:r>
    </w:p>
    <w:tbl>
      <w:tblPr>
        <w:tblStyle w:val="18"/>
        <w:tblW w:w="13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0"/>
        <w:gridCol w:w="7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项目</w:t>
            </w:r>
          </w:p>
        </w:tc>
        <w:tc>
          <w:tcPr>
            <w:tcW w:w="7802"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毕业条件具体说明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思政课考查考试</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所设课程均达60分以上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文化基础课考查考试</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所设课程均达60分以上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见习实习</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综合实训</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顶岗实习</w:t>
            </w:r>
          </w:p>
        </w:tc>
        <w:tc>
          <w:tcPr>
            <w:tcW w:w="7802" w:type="dxa"/>
            <w:vAlign w:val="center"/>
          </w:tcPr>
          <w:p>
            <w:pPr>
              <w:spacing w:line="360" w:lineRule="auto"/>
              <w:ind w:right="-82" w:rightChars="-39" w:firstLine="174" w:firstLineChars="83"/>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60分以上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学生操行鉴定</w:t>
            </w:r>
          </w:p>
        </w:tc>
        <w:tc>
          <w:tcPr>
            <w:tcW w:w="7802" w:type="dxa"/>
            <w:vAlign w:val="center"/>
          </w:tcPr>
          <w:p>
            <w:pPr>
              <w:spacing w:line="360" w:lineRule="auto"/>
              <w:ind w:right="-82" w:rightChars="-39" w:firstLine="480"/>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各学年考核合格以上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专业技能证书(X职业资格证书)</w:t>
            </w:r>
          </w:p>
        </w:tc>
        <w:tc>
          <w:tcPr>
            <w:tcW w:w="7802" w:type="dxa"/>
            <w:vAlign w:val="center"/>
          </w:tcPr>
          <w:p>
            <w:pPr>
              <w:spacing w:line="360" w:lineRule="auto"/>
              <w:ind w:right="-82" w:rightChars="-39" w:firstLine="480"/>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普通话证/理财规划师证/助理会计师证/</w:t>
            </w:r>
            <w:r>
              <w:rPr>
                <w:rFonts w:hint="eastAsia" w:ascii="宋体" w:hAnsi="宋体" w:cs="仿宋"/>
                <w:bCs/>
                <w:color w:val="000000"/>
                <w:szCs w:val="21"/>
              </w:rPr>
              <w:t>全国计算机等级考试一级</w:t>
            </w:r>
            <w:r>
              <w:rPr>
                <w:rFonts w:hint="eastAsia" w:cs="仿宋" w:asciiTheme="minorEastAsia" w:hAnsiTheme="minorEastAsia" w:eastAsiaTheme="minorEastAsia"/>
                <w:bCs/>
                <w:color w:val="000000" w:themeColor="text1"/>
                <w:szCs w:val="21"/>
              </w:rPr>
              <w:t>/</w:t>
            </w:r>
            <w:r>
              <w:rPr>
                <w:rFonts w:hint="eastAsia" w:ascii="宋体" w:hAnsi="宋体" w:cs="仿宋"/>
                <w:bCs/>
                <w:color w:val="000000"/>
                <w:szCs w:val="21"/>
              </w:rPr>
              <w:t>办公软件应用四级（操作员级）及以上证书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cs="仿宋" w:asciiTheme="minorEastAsia" w:hAnsiTheme="minorEastAsia" w:eastAsiaTheme="minorEastAsia"/>
                <w:bCs/>
                <w:color w:val="000000" w:themeColor="text1"/>
                <w:szCs w:val="21"/>
              </w:rPr>
            </w:pPr>
            <w:r>
              <w:rPr>
                <w:rFonts w:hint="eastAsia" w:cs="仿宋" w:asciiTheme="minorEastAsia" w:hAnsiTheme="minorEastAsia" w:eastAsiaTheme="minorEastAsia"/>
                <w:bCs/>
                <w:color w:val="000000" w:themeColor="text1"/>
                <w:szCs w:val="21"/>
              </w:rPr>
              <w:t>学分</w:t>
            </w:r>
          </w:p>
        </w:tc>
        <w:tc>
          <w:tcPr>
            <w:tcW w:w="7802" w:type="dxa"/>
            <w:vAlign w:val="center"/>
          </w:tcPr>
          <w:p>
            <w:pPr>
              <w:spacing w:line="360" w:lineRule="auto"/>
              <w:ind w:right="-82" w:rightChars="-39" w:firstLine="480"/>
              <w:jc w:val="center"/>
              <w:rPr>
                <w:rFonts w:cs="仿宋" w:asciiTheme="minorEastAsia" w:hAnsiTheme="minorEastAsia" w:eastAsiaTheme="minorEastAsia"/>
                <w:bCs/>
                <w:color w:val="000000" w:themeColor="text1"/>
                <w:szCs w:val="21"/>
              </w:rPr>
            </w:pPr>
            <w:r>
              <w:rPr>
                <w:rFonts w:hint="eastAsia" w:ascii="宋体" w:hAnsi="宋体" w:cs="仿宋"/>
                <w:bCs/>
                <w:color w:val="000000"/>
                <w:szCs w:val="21"/>
              </w:rPr>
              <w:t>必修课程</w:t>
            </w:r>
            <w:r>
              <w:rPr>
                <w:rFonts w:hint="eastAsia" w:cs="仿宋" w:asciiTheme="minorEastAsia" w:hAnsiTheme="minorEastAsia" w:eastAsiaTheme="minorEastAsia"/>
                <w:bCs/>
                <w:color w:val="000000" w:themeColor="text1"/>
                <w:szCs w:val="21"/>
              </w:rPr>
              <w:t>100</w:t>
            </w:r>
            <w:r>
              <w:rPr>
                <w:rFonts w:hint="eastAsia" w:ascii="宋体" w:hAnsi="宋体" w:cs="仿宋"/>
                <w:bCs/>
                <w:color w:val="000000"/>
                <w:szCs w:val="21"/>
              </w:rPr>
              <w:t>学分、选修课程</w:t>
            </w:r>
            <w:r>
              <w:rPr>
                <w:rFonts w:hint="eastAsia" w:cs="仿宋" w:asciiTheme="minorEastAsia" w:hAnsiTheme="minorEastAsia" w:eastAsiaTheme="minorEastAsia"/>
                <w:bCs/>
                <w:color w:val="000000" w:themeColor="text1"/>
                <w:szCs w:val="21"/>
              </w:rPr>
              <w:t>44</w:t>
            </w:r>
            <w:r>
              <w:rPr>
                <w:rFonts w:hint="eastAsia" w:ascii="宋体" w:hAnsi="宋体" w:cs="仿宋"/>
                <w:bCs/>
                <w:color w:val="000000"/>
                <w:szCs w:val="21"/>
              </w:rPr>
              <w:t>学分，总计</w:t>
            </w:r>
            <w:r>
              <w:rPr>
                <w:rFonts w:hint="eastAsia" w:cs="仿宋" w:asciiTheme="minorEastAsia" w:hAnsiTheme="minorEastAsia" w:eastAsiaTheme="minorEastAsia"/>
                <w:bCs/>
                <w:color w:val="000000" w:themeColor="text1"/>
                <w:szCs w:val="21"/>
              </w:rPr>
              <w:t>144</w:t>
            </w:r>
            <w:r>
              <w:rPr>
                <w:rFonts w:hint="eastAsia" w:ascii="宋体" w:hAnsi="宋体" w:cs="仿宋"/>
                <w:bCs/>
                <w:color w:val="000000"/>
                <w:szCs w:val="21"/>
              </w:rPr>
              <w:t>学分</w:t>
            </w:r>
          </w:p>
        </w:tc>
      </w:tr>
    </w:tbl>
    <w:p>
      <w:pPr>
        <w:spacing w:line="360" w:lineRule="auto"/>
        <w:ind w:firstLine="413" w:firstLineChars="196"/>
        <w:rPr>
          <w:rFonts w:asciiTheme="minorEastAsia" w:hAnsiTheme="minorEastAsia" w:eastAsiaTheme="minorEastAsia"/>
          <w:b/>
          <w:color w:val="000000" w:themeColor="text1"/>
          <w:szCs w:val="21"/>
        </w:rPr>
      </w:pPr>
      <w:bookmarkStart w:id="60" w:name="_Toc19965"/>
      <w:bookmarkStart w:id="61" w:name="_Toc180"/>
      <w:r>
        <w:rPr>
          <w:rFonts w:hint="eastAsia" w:asciiTheme="minorEastAsia" w:hAnsiTheme="minorEastAsia" w:eastAsiaTheme="minorEastAsia"/>
          <w:b/>
          <w:color w:val="000000" w:themeColor="text1"/>
          <w:szCs w:val="21"/>
        </w:rPr>
        <w:t>十、专升本主要接续专业</w:t>
      </w:r>
      <w:bookmarkEnd w:id="60"/>
      <w:bookmarkEnd w:id="61"/>
    </w:p>
    <w:p>
      <w:pPr>
        <w:tabs>
          <w:tab w:val="left" w:pos="1425"/>
        </w:tabs>
        <w:spacing w:line="360" w:lineRule="auto"/>
        <w:ind w:right="-82" w:rightChars="-39" w:firstLine="525" w:firstLineChars="25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本科：金融管理专业、财务管理专业、农林经济专业、会计学专业。</w:t>
      </w:r>
    </w:p>
    <w:p>
      <w:pPr>
        <w:spacing w:line="360" w:lineRule="auto"/>
        <w:ind w:firstLine="413" w:firstLineChars="196"/>
        <w:rPr>
          <w:rFonts w:asciiTheme="minorEastAsia" w:hAnsiTheme="minorEastAsia" w:eastAsiaTheme="minorEastAsia"/>
          <w:b/>
          <w:color w:val="000000" w:themeColor="text1"/>
          <w:szCs w:val="21"/>
        </w:rPr>
      </w:pPr>
      <w:bookmarkStart w:id="62" w:name="_Toc26903"/>
      <w:bookmarkStart w:id="63" w:name="_Toc27869"/>
      <w:r>
        <w:rPr>
          <w:rFonts w:hint="eastAsia" w:asciiTheme="minorEastAsia" w:hAnsiTheme="minorEastAsia" w:eastAsiaTheme="minorEastAsia"/>
          <w:b/>
          <w:color w:val="000000" w:themeColor="text1"/>
          <w:szCs w:val="21"/>
        </w:rPr>
        <w:t>十一、编制依据</w:t>
      </w:r>
      <w:bookmarkEnd w:id="62"/>
      <w:bookmarkEnd w:id="63"/>
    </w:p>
    <w:p>
      <w:pPr>
        <w:spacing w:line="360" w:lineRule="auto"/>
        <w:ind w:firstLine="420" w:firstLineChars="200"/>
        <w:jc w:val="left"/>
        <w:rPr>
          <w:rFonts w:cs="仿宋" w:asciiTheme="minorEastAsia" w:hAnsiTheme="minorEastAsia" w:eastAsiaTheme="minorEastAsia"/>
          <w:color w:val="000000" w:themeColor="text1"/>
          <w:szCs w:val="21"/>
        </w:rPr>
      </w:pPr>
      <w:r>
        <w:rPr>
          <w:rFonts w:hint="eastAsia" w:cs="仿宋" w:asciiTheme="minorEastAsia" w:hAnsiTheme="minorEastAsia" w:eastAsiaTheme="minorEastAsia"/>
          <w:bCs/>
          <w:color w:val="000000" w:themeColor="text1"/>
          <w:szCs w:val="21"/>
        </w:rPr>
        <w:t>本专业人才培养方案是依据《教育部关于深化职业教育教学改革全面提高人才培养质量的若干意见》（教职成【2015】6号），教育部《高等职业学校专业教学标准》（试行）（2014年7月），山西省人民政府印发的《山西省职业教育校企合作促进办法（试行）》（2018年6月），《山西省人民政府办公厅关于加强职业院校“双师型”教师队伍建设的意见》（晋政办发【2015】76号），《</w:t>
      </w:r>
      <w:r>
        <w:rPr>
          <w:rFonts w:hint="eastAsia" w:cs="仿宋" w:asciiTheme="minorEastAsia" w:hAnsiTheme="minorEastAsia" w:eastAsiaTheme="minorEastAsia"/>
          <w:b/>
          <w:bCs/>
          <w:color w:val="000000" w:themeColor="text1"/>
          <w:kern w:val="36"/>
          <w:szCs w:val="21"/>
        </w:rPr>
        <w:t>教育部关于职业院校专业人才培养方案制订工作的指导意见</w:t>
      </w:r>
      <w:r>
        <w:rPr>
          <w:rFonts w:hint="eastAsia" w:cs="仿宋" w:asciiTheme="minorEastAsia" w:hAnsiTheme="minorEastAsia" w:eastAsiaTheme="minorEastAsia"/>
          <w:bCs/>
          <w:color w:val="000000" w:themeColor="text1"/>
          <w:szCs w:val="21"/>
        </w:rPr>
        <w:t>》(【2019】13号</w:t>
      </w:r>
      <w:r>
        <w:rPr>
          <w:rFonts w:hint="eastAsia" w:cs="仿宋" w:asciiTheme="minorEastAsia" w:hAnsiTheme="minorEastAsia" w:eastAsiaTheme="minorEastAsia"/>
          <w:color w:val="000000" w:themeColor="text1"/>
          <w:kern w:val="36"/>
          <w:szCs w:val="21"/>
        </w:rPr>
        <w:t>），</w:t>
      </w:r>
      <w:r>
        <w:rPr>
          <w:rFonts w:hint="eastAsia" w:cs="仿宋" w:asciiTheme="minorEastAsia" w:hAnsiTheme="minorEastAsia" w:eastAsiaTheme="minorEastAsia"/>
          <w:color w:val="000000" w:themeColor="text1"/>
          <w:szCs w:val="21"/>
        </w:rPr>
        <w:t>教育部等六部委《高职扩招专项工作实施方案》（教职成〔2019〕12号），山西省教育厅等七部门《高职扩招专项工作实施方案》（晋教职成〔2019〕8号）精神，</w:t>
      </w:r>
      <w:r>
        <w:rPr>
          <w:rFonts w:hint="eastAsia" w:cs="仿宋" w:asciiTheme="minorEastAsia" w:hAnsiTheme="minorEastAsia" w:eastAsiaTheme="minorEastAsia"/>
          <w:color w:val="000000" w:themeColor="text1"/>
          <w:kern w:val="36"/>
          <w:szCs w:val="21"/>
        </w:rPr>
        <w:t>《</w:t>
      </w:r>
      <w:r>
        <w:rPr>
          <w:rFonts w:hint="eastAsia" w:cs="仿宋" w:asciiTheme="minorEastAsia" w:hAnsiTheme="minorEastAsia" w:eastAsiaTheme="minorEastAsia"/>
          <w:color w:val="000000" w:themeColor="text1"/>
          <w:szCs w:val="21"/>
        </w:rPr>
        <w:t>山西省教育厅关于高职院校招收社会人员编制和实施专业人才培养方案的指导意见》（晋教职成〔2019〕 号），《山西省教育厅关于做好扩招后高职院校教育教学管理实现高质量人才培养的通知》（晋教职成〔2020〕1 号）文件精神，</w:t>
      </w:r>
      <w:r>
        <w:rPr>
          <w:rFonts w:hint="eastAsia" w:cs="仿宋" w:asciiTheme="minorEastAsia" w:hAnsiTheme="minorEastAsia" w:eastAsiaTheme="minorEastAsia"/>
          <w:bCs/>
          <w:color w:val="000000" w:themeColor="text1"/>
          <w:szCs w:val="21"/>
        </w:rPr>
        <w:t>结合社会生源学情和学院</w:t>
      </w:r>
      <w:r>
        <w:rPr>
          <w:rFonts w:hint="eastAsia" w:cs="仿宋" w:asciiTheme="minorEastAsia" w:hAnsiTheme="minorEastAsia" w:eastAsiaTheme="minorEastAsia"/>
          <w:color w:val="000000" w:themeColor="text1"/>
          <w:szCs w:val="21"/>
        </w:rPr>
        <w:t>办学资源</w:t>
      </w:r>
      <w:r>
        <w:rPr>
          <w:rFonts w:hint="eastAsia" w:cs="仿宋" w:asciiTheme="minorEastAsia" w:hAnsiTheme="minorEastAsia" w:eastAsiaTheme="minorEastAsia"/>
          <w:bCs/>
          <w:color w:val="000000" w:themeColor="text1"/>
          <w:szCs w:val="21"/>
        </w:rPr>
        <w:t>情况编制的</w:t>
      </w:r>
      <w:r>
        <w:rPr>
          <w:rFonts w:hint="eastAsia" w:cs="仿宋" w:asciiTheme="minorEastAsia" w:hAnsiTheme="minorEastAsia" w:eastAsiaTheme="minorEastAsia"/>
          <w:color w:val="000000" w:themeColor="text1"/>
          <w:szCs w:val="21"/>
        </w:rPr>
        <w:t>，</w:t>
      </w:r>
    </w:p>
    <w:p>
      <w:pPr>
        <w:spacing w:line="360" w:lineRule="auto"/>
        <w:ind w:firstLine="413" w:firstLineChars="196"/>
        <w:rPr>
          <w:rFonts w:asciiTheme="minorEastAsia" w:hAnsiTheme="minorEastAsia" w:eastAsiaTheme="minorEastAsia"/>
          <w:b/>
          <w:color w:val="000000" w:themeColor="text1"/>
          <w:szCs w:val="21"/>
        </w:rPr>
      </w:pPr>
      <w:bookmarkStart w:id="64" w:name="_Toc15111"/>
      <w:bookmarkStart w:id="65" w:name="_Toc26440"/>
      <w:r>
        <w:rPr>
          <w:rFonts w:hint="eastAsia" w:asciiTheme="minorEastAsia" w:hAnsiTheme="minorEastAsia" w:eastAsiaTheme="minorEastAsia"/>
          <w:b/>
          <w:color w:val="000000" w:themeColor="text1"/>
          <w:szCs w:val="21"/>
        </w:rPr>
        <w:t>十二、编制单位与人员</w:t>
      </w:r>
      <w:bookmarkEnd w:id="64"/>
      <w:bookmarkEnd w:id="65"/>
    </w:p>
    <w:p>
      <w:pPr>
        <w:widowControl/>
        <w:spacing w:line="360" w:lineRule="auto"/>
        <w:ind w:firstLine="420" w:firstLineChars="200"/>
        <w:jc w:val="left"/>
        <w:rPr>
          <w:rFonts w:cs="仿宋" w:asciiTheme="minorEastAsia" w:hAnsiTheme="minorEastAsia" w:eastAsiaTheme="minorEastAsia"/>
          <w:color w:val="000000" w:themeColor="text1"/>
          <w:kern w:val="0"/>
          <w:szCs w:val="21"/>
        </w:rPr>
      </w:pPr>
      <w:r>
        <w:rPr>
          <w:rFonts w:hint="eastAsia" w:cs="仿宋" w:asciiTheme="minorEastAsia" w:hAnsiTheme="minorEastAsia" w:eastAsiaTheme="minorEastAsia"/>
          <w:color w:val="000000" w:themeColor="text1"/>
          <w:kern w:val="0"/>
          <w:szCs w:val="21"/>
        </w:rPr>
        <w:t>学校专门成立由行业企业专家、教科研人员、一线教师和学生（毕业生）代表组成的专业建设委员会，在充分对学员学情调研分析的基础上对本专业人才培养方案进行修订。</w:t>
      </w:r>
    </w:p>
    <w:p>
      <w:pPr>
        <w:widowControl/>
        <w:spacing w:line="360" w:lineRule="auto"/>
        <w:ind w:firstLine="420" w:firstLineChars="200"/>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表21、编制单位与参编人员一览表</w:t>
      </w:r>
    </w:p>
    <w:tbl>
      <w:tblPr>
        <w:tblStyle w:val="18"/>
        <w:tblW w:w="13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3068"/>
        <w:gridCol w:w="2594"/>
        <w:gridCol w:w="2407"/>
        <w:gridCol w:w="2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2943"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编制单位类型</w:t>
            </w:r>
          </w:p>
        </w:tc>
        <w:tc>
          <w:tcPr>
            <w:tcW w:w="3068"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编写人员单位具体名称</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参编人员姓名</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专业技术职务</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行政职务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2943"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行业企业专家</w:t>
            </w:r>
          </w:p>
        </w:tc>
        <w:tc>
          <w:tcPr>
            <w:tcW w:w="3068"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夏银行临汾分行</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王峰</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理财规划师</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华夏银行临汾分行行长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cs="仿宋" w:asciiTheme="minorEastAsia" w:hAnsiTheme="minorEastAsia" w:eastAsiaTheme="minorEastAsia"/>
                <w:color w:val="000000" w:themeColor="text1"/>
                <w:szCs w:val="21"/>
              </w:rPr>
            </w:pPr>
          </w:p>
        </w:tc>
        <w:tc>
          <w:tcPr>
            <w:tcW w:w="3068"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临汾市公积金中心</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遆李娟</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高级会计师</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财务科科长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943" w:type="dxa"/>
            <w:vMerge w:val="restart"/>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学校教学管理人员和专业教师</w:t>
            </w:r>
          </w:p>
        </w:tc>
        <w:tc>
          <w:tcPr>
            <w:tcW w:w="3068"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赵瑞婷</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副教授</w:t>
            </w:r>
          </w:p>
        </w:tc>
        <w:tc>
          <w:tcPr>
            <w:tcW w:w="2754" w:type="dxa"/>
            <w:vAlign w:val="center"/>
          </w:tcPr>
          <w:p>
            <w:pPr>
              <w:spacing w:line="360" w:lineRule="auto"/>
              <w:ind w:right="-82" w:rightChars="-39" w:firstLine="630" w:firstLineChars="3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cs="仿宋" w:asciiTheme="minorEastAsia" w:hAnsiTheme="minorEastAsia" w:eastAsiaTheme="minorEastAsia"/>
                <w:color w:val="000000" w:themeColor="text1"/>
                <w:szCs w:val="21"/>
              </w:rPr>
            </w:pPr>
          </w:p>
        </w:tc>
        <w:tc>
          <w:tcPr>
            <w:tcW w:w="3068"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薛丽萍</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理财规划师</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cs="仿宋" w:asciiTheme="minorEastAsia" w:hAnsiTheme="minorEastAsia" w:eastAsiaTheme="minorEastAsia"/>
                <w:color w:val="000000" w:themeColor="text1"/>
                <w:szCs w:val="21"/>
              </w:rPr>
            </w:pPr>
          </w:p>
        </w:tc>
        <w:tc>
          <w:tcPr>
            <w:tcW w:w="3068"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财会系</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褚福慧</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会计师</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2943"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教科研人员</w:t>
            </w:r>
          </w:p>
        </w:tc>
        <w:tc>
          <w:tcPr>
            <w:tcW w:w="3068" w:type="dxa"/>
            <w:vAlign w:val="center"/>
          </w:tcPr>
          <w:p>
            <w:pPr>
              <w:spacing w:line="360" w:lineRule="auto"/>
              <w:ind w:right="-82" w:rightChars="-39" w:firstLine="1155" w:firstLineChars="55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科研部</w:t>
            </w:r>
          </w:p>
        </w:tc>
        <w:tc>
          <w:tcPr>
            <w:tcW w:w="2594" w:type="dxa"/>
            <w:vAlign w:val="center"/>
          </w:tcPr>
          <w:p>
            <w:pPr>
              <w:spacing w:line="360" w:lineRule="auto"/>
              <w:ind w:right="-82" w:rightChars="-39" w:firstLine="945" w:firstLineChars="45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温爱华</w:t>
            </w:r>
          </w:p>
        </w:tc>
        <w:tc>
          <w:tcPr>
            <w:tcW w:w="2407" w:type="dxa"/>
            <w:vAlign w:val="center"/>
          </w:tcPr>
          <w:p>
            <w:pPr>
              <w:spacing w:line="360" w:lineRule="auto"/>
              <w:ind w:right="-82" w:rightChars="-39" w:firstLine="840" w:firstLineChars="4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会计师</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科研部主任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2943"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毕业生代表</w:t>
            </w:r>
          </w:p>
        </w:tc>
        <w:tc>
          <w:tcPr>
            <w:tcW w:w="3068" w:type="dxa"/>
            <w:vAlign w:val="center"/>
          </w:tcPr>
          <w:p>
            <w:pPr>
              <w:spacing w:line="360" w:lineRule="auto"/>
              <w:ind w:right="-82" w:rightChars="-39" w:firstLine="420"/>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尧都农商行</w:t>
            </w:r>
          </w:p>
        </w:tc>
        <w:tc>
          <w:tcPr>
            <w:tcW w:w="2594" w:type="dxa"/>
            <w:vAlign w:val="center"/>
          </w:tcPr>
          <w:p>
            <w:pPr>
              <w:spacing w:line="360" w:lineRule="auto"/>
              <w:ind w:right="-82" w:rightChars="-39" w:firstLine="945" w:firstLineChars="45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乔明月</w:t>
            </w:r>
          </w:p>
        </w:tc>
        <w:tc>
          <w:tcPr>
            <w:tcW w:w="2407" w:type="dxa"/>
            <w:vAlign w:val="center"/>
          </w:tcPr>
          <w:p>
            <w:pPr>
              <w:spacing w:line="360" w:lineRule="auto"/>
              <w:ind w:right="-82" w:rightChars="-39" w:firstLine="420"/>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理财规划师</w:t>
            </w:r>
          </w:p>
        </w:tc>
        <w:tc>
          <w:tcPr>
            <w:tcW w:w="275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大堂经理</w:t>
            </w:r>
          </w:p>
        </w:tc>
      </w:tr>
    </w:tbl>
    <w:p>
      <w:pPr>
        <w:spacing w:line="360" w:lineRule="auto"/>
        <w:ind w:right="-82" w:rightChars="-39"/>
        <w:rPr>
          <w:rFonts w:cs="仿宋" w:asciiTheme="minorEastAsia" w:hAnsiTheme="minorEastAsia" w:eastAsiaTheme="minorEastAsia"/>
          <w:color w:val="000000" w:themeColor="text1"/>
          <w:szCs w:val="21"/>
        </w:rPr>
      </w:pPr>
    </w:p>
    <w:p>
      <w:pPr>
        <w:spacing w:line="360" w:lineRule="auto"/>
        <w:ind w:firstLine="420" w:firstLineChars="2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备注：本方案于2019 年 12 月制定，学院党委会于2019年1月10日通过，从2020年2月15日起执行。</w:t>
      </w:r>
    </w:p>
    <w:p>
      <w:pPr>
        <w:spacing w:line="360" w:lineRule="auto"/>
        <w:ind w:left="420" w:leftChars="200"/>
        <w:rPr>
          <w:rFonts w:cs="仿宋" w:asciiTheme="minorEastAsia" w:hAnsiTheme="minorEastAsia" w:eastAsiaTheme="minorEastAsia"/>
          <w:color w:val="000000" w:themeColor="text1"/>
          <w:szCs w:val="21"/>
        </w:rPr>
      </w:pPr>
    </w:p>
    <w:p>
      <w:pPr>
        <w:spacing w:line="360" w:lineRule="auto"/>
        <w:ind w:left="420" w:leftChars="200"/>
        <w:rPr>
          <w:rFonts w:cs="仿宋" w:asciiTheme="minorEastAsia" w:hAnsiTheme="minorEastAsia" w:eastAsiaTheme="minorEastAsia"/>
          <w:color w:val="000000" w:themeColor="text1"/>
          <w:szCs w:val="21"/>
        </w:rPr>
      </w:pPr>
    </w:p>
    <w:p>
      <w:pPr>
        <w:spacing w:line="360" w:lineRule="auto"/>
        <w:ind w:firstLine="6720" w:firstLineChars="3200"/>
        <w:rPr>
          <w:rFonts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 xml:space="preserve">                           执笔人：薛丽萍</w:t>
      </w:r>
    </w:p>
    <w:p>
      <w:pPr>
        <w:spacing w:line="360" w:lineRule="auto"/>
        <w:ind w:firstLine="6720" w:firstLineChars="3200"/>
        <w:rPr>
          <w:rFonts w:asciiTheme="minorEastAsia" w:hAnsiTheme="minorEastAsia" w:eastAsiaTheme="minorEastAsia"/>
          <w:color w:val="000000" w:themeColor="text1"/>
          <w:szCs w:val="21"/>
        </w:rPr>
      </w:pPr>
      <w:r>
        <w:rPr>
          <w:rFonts w:hint="eastAsia" w:asciiTheme="minorEastAsia" w:hAnsiTheme="minorEastAsia" w:eastAsiaTheme="minorEastAsia"/>
          <w:color w:val="000000" w:themeColor="text1"/>
          <w:szCs w:val="21"/>
        </w:rPr>
        <w:t xml:space="preserve">                           合作企业：华夏银行临汾分行</w:t>
      </w:r>
    </w:p>
    <w:p>
      <w:pPr>
        <w:spacing w:line="360" w:lineRule="auto"/>
        <w:rPr>
          <w:rFonts w:hint="eastAsia" w:asciiTheme="minorEastAsia" w:hAnsiTheme="minorEastAsia" w:eastAsiaTheme="minorEastAsia"/>
          <w:color w:val="000000" w:themeColor="text1"/>
          <w:szCs w:val="21"/>
        </w:rPr>
        <w:sectPr>
          <w:pgSz w:w="16838" w:h="11906" w:orient="landscape"/>
          <w:pgMar w:top="1800" w:right="1440" w:bottom="1800" w:left="1440" w:header="851" w:footer="992" w:gutter="0"/>
          <w:cols w:space="425" w:num="1"/>
          <w:docGrid w:type="lines" w:linePitch="312" w:charSpace="0"/>
        </w:sectPr>
      </w:pPr>
      <w:r>
        <w:rPr>
          <w:rFonts w:hint="eastAsia" w:asciiTheme="minorEastAsia" w:hAnsiTheme="minorEastAsia" w:eastAsiaTheme="minorEastAsia"/>
          <w:color w:val="000000" w:themeColor="text1"/>
          <w:szCs w:val="21"/>
        </w:rPr>
        <w:t xml:space="preserve">                                                                                           审核人：山西管理职业学院专业建设委员会</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sz w:val="21"/>
          <w:szCs w:val="21"/>
          <w:lang w:val="en-US" w:eastAsia="zh-CN"/>
        </w:rPr>
      </w:pPr>
      <w:r>
        <w:rPr>
          <w:rFonts w:hint="eastAsia"/>
          <w:b/>
          <w:bCs/>
          <w:sz w:val="21"/>
          <w:szCs w:val="21"/>
          <w:lang w:eastAsia="zh-CN"/>
        </w:rPr>
        <w:t>附件</w:t>
      </w:r>
      <w:r>
        <w:rPr>
          <w:rFonts w:hint="eastAsia"/>
          <w:b/>
          <w:bCs/>
          <w:sz w:val="21"/>
          <w:szCs w:val="21"/>
          <w:lang w:val="en-US" w:eastAsia="zh-CN"/>
        </w:rPr>
        <w:t>1:</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b/>
          <w:bCs/>
          <w:sz w:val="32"/>
          <w:szCs w:val="32"/>
          <w:lang w:val="en-US" w:eastAsia="zh-CN"/>
        </w:rPr>
      </w:pPr>
      <w:r>
        <w:rPr>
          <w:rFonts w:hint="eastAsia"/>
          <w:b/>
          <w:bCs/>
          <w:sz w:val="32"/>
          <w:szCs w:val="32"/>
        </w:rPr>
        <w:t>2019</w:t>
      </w:r>
      <w:r>
        <w:rPr>
          <w:rFonts w:hint="eastAsia"/>
          <w:b/>
          <w:bCs/>
          <w:sz w:val="32"/>
          <w:szCs w:val="32"/>
          <w:lang w:eastAsia="zh-CN"/>
        </w:rPr>
        <w:t>年高职扩招学生学情分析报告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依据</w:t>
      </w:r>
      <w:r>
        <w:rPr>
          <w:rFonts w:hint="eastAsia"/>
        </w:rPr>
        <w:t>山西省普通高校招生报名条件</w:t>
      </w:r>
      <w:r>
        <w:rPr>
          <w:rFonts w:hint="eastAsia"/>
          <w:lang w:val="en-US" w:eastAsia="zh-CN"/>
        </w:rPr>
        <w:t>，</w:t>
      </w:r>
      <w:r>
        <w:rPr>
          <w:rFonts w:hint="eastAsia"/>
          <w:lang w:eastAsia="zh-CN"/>
        </w:rPr>
        <w:t>我院</w:t>
      </w:r>
      <w:r>
        <w:rPr>
          <w:rFonts w:hint="eastAsia"/>
        </w:rPr>
        <w:t>2019</w:t>
      </w:r>
      <w:r>
        <w:rPr>
          <w:rFonts w:hint="eastAsia"/>
          <w:lang w:eastAsia="zh-CN"/>
        </w:rPr>
        <w:t>年高职扩招的学生包括</w:t>
      </w:r>
      <w:r>
        <w:rPr>
          <w:rFonts w:hint="eastAsia"/>
        </w:rPr>
        <w:t>应、往届普通高中毕业生、中职（含中专、技工学校、 职业高中）毕业生，退役军人、下岗失业人员、农民工、新型职业农民和在岗职工等</w:t>
      </w:r>
      <w:r>
        <w:rPr>
          <w:rFonts w:hint="eastAsia"/>
          <w:lang w:val="en-US" w:eastAsia="zh-CN"/>
        </w:rPr>
        <w:t>。本次高职扩招它在空间和时间上不受限制 ，实行免试入学，接受教育的对象覆盖着整个社会，教育形式也由原来的全日制变为校企协同育人------送教上门教学模式、工学交替-----节假日集中教学等模式，在教学组织、学习方式 、时间及地点上相对灵活，学费上国家给退伍军人</w:t>
      </w:r>
      <w:r>
        <w:rPr>
          <w:rFonts w:hint="eastAsia"/>
          <w:sz w:val="21"/>
          <w:szCs w:val="21"/>
          <w:lang w:val="en-US" w:eastAsia="zh-CN"/>
        </w:rPr>
        <w:t>又有很好的政策</w:t>
      </w:r>
      <w:r>
        <w:rPr>
          <w:rFonts w:hint="eastAsia"/>
          <w:lang w:val="en-US" w:eastAsia="zh-CN"/>
        </w:rPr>
        <w:t xml:space="preserve">，取消和突破了对学习的各种限制和障碍。如此全新的教与学的教育教学模式使学生尤其是我们可爱的子弟兵表现出了极大的兴趣。依据学情的特殊性开展相应的教育管理，不断提高学习效果，是摆在我们每一个教育工作者面前的一项紧迫任务。我专业由于招生人数较少，所以本次面向社会人员扩招学生学情分析，我的调研对象面向了财会系所有扩招学生。通过调研充分了解了学生的年龄结构、职业结构、工作年限、学习动机、学习目的等基本情况，在此基础上进一步分析了社会扩招学生的特点，提出了提高学习效果的多项策略，以求能有效地提高本次扩招学生的学习质量和我院的教育教学水平。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2019年12月 ，我对本批次面向社会人员扩招学生 ，抽取了60个样本进行问卷调查 ，回收问卷56份 ，有效问卷 52份 ，有效回收率为87％，具体分析如下：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一、扩招学生年龄结构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在52个有效样本中，男生为47人，占90％，女生为5人，占10％；已婚42人，占81％ ，未婚10人， 占10％。其年龄和工作状况如下：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drawing>
          <wp:inline distT="0" distB="0" distL="114300" distR="114300">
            <wp:extent cx="5080000" cy="2199640"/>
            <wp:effectExtent l="4445" t="4445" r="20955" b="571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由图1可见，本次扩招学生是一支以成人为主体的学员队伍，学生的年龄主要集中在20～35岁，占77％。有关研究表明，以成人为主的学习者，具有更适合自学的智力和生理上的基础，同时记忆将是影响该批学生学习结果的一个重要问题 。因此，我们在研究教学时，应加以关注。扩招学生男女生比例 高于普通招生，主要是退伍军人，这说明此次扩招为退伍军人提供了更多的接受高等教育的机会。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pPr>
      <w:r>
        <w:rPr>
          <w:rFonts w:hint="eastAsia"/>
          <w:lang w:val="en-US" w:eastAsia="zh-CN"/>
        </w:rPr>
        <w:t>二、扩招学生职业结构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lang w:val="en-US" w:eastAsia="zh-CN"/>
        </w:rPr>
      </w:pPr>
      <w:r>
        <w:rPr>
          <w:rFonts w:hint="eastAsia"/>
          <w:lang w:val="en-US" w:eastAsia="zh-CN"/>
        </w:rPr>
        <w:drawing>
          <wp:inline distT="0" distB="0" distL="114300" distR="114300">
            <wp:extent cx="4965700" cy="2010410"/>
            <wp:effectExtent l="5080" t="4445" r="20320" b="234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如图2所示，扩招学生大多为在职人员，他们主要来自国家机关、事业单位和私有企业。共占85％ ，来自国有企业的学生为13％，仅有2％的学生待业。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pPr>
      <w:r>
        <w:rPr>
          <w:rFonts w:hint="eastAsia"/>
          <w:lang w:val="en-US" w:eastAsia="zh-CN"/>
        </w:rPr>
        <w:t>三、扩招学生工作年限统计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lang w:val="en-US" w:eastAsia="zh-CN"/>
        </w:rPr>
      </w:pPr>
      <w:r>
        <w:rPr>
          <w:rFonts w:hint="default"/>
          <w:lang w:val="en-US" w:eastAsia="zh-CN"/>
        </w:rPr>
        <w:drawing>
          <wp:inline distT="0" distB="0" distL="114300" distR="114300">
            <wp:extent cx="5080000" cy="226695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由图3可见 ，相当数量的学生具有十年以上的工作经历 ，与正常招生相比 ，扩招学生是一群具有工作经验的学习者 。工作年限1-2年10％，年限3—5年21％，年限5—10年43％，10年以上26%。</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四 、扩招学生的学习动机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扩招学生进入高职学习 ，其动机有以下四种情况。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drawing>
          <wp:inline distT="0" distB="0" distL="114300" distR="114300">
            <wp:extent cx="5080000" cy="2229485"/>
            <wp:effectExtent l="5080" t="4445" r="20320" b="1397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由图4可以看出，学生选择高职学习，25％是因为学习形式适宜，29％是因为不需要考试的入学方式，国家政策占45%，其他因素占1％。这说明本次扩招形式，学费国家补贴对退伍军人这个群体接受学历教育具有很大的吸引力。他们当中的许多人在国有企业、国家机关和事业单位从事管理及专业技术工作，具有一定的工作经历，面临知识经济和学习化社会到来的挑战，一方面需要不断充实提高，以面对日益激烈的竞争，另一方面又必须解决好突出的工学矛盾。本次扩招的学习形式在一定程度上兼顾了两者。国家对退伍军人的助学服务对本次扩招者选择进入高职学习是一个不可忽视的因素。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五、扩招学生学习目的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val="en-US" w:eastAsia="zh-CN"/>
        </w:rPr>
      </w:pPr>
      <w:r>
        <w:rPr>
          <w:rFonts w:hint="eastAsia"/>
          <w:lang w:val="en-US" w:eastAsia="zh-CN"/>
        </w:rPr>
        <w:t xml:space="preserve">  </w:t>
      </w:r>
      <w:r>
        <w:rPr>
          <w:rFonts w:hint="eastAsia"/>
          <w:lang w:val="en-US" w:eastAsia="zh-CN"/>
        </w:rPr>
        <w:drawing>
          <wp:inline distT="0" distB="0" distL="114300" distR="114300">
            <wp:extent cx="5080000" cy="2028190"/>
            <wp:effectExtent l="4445" t="4445" r="20955" b="57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图 5表明，52％的学生学习的目的是为了充实提高自己，适应社会的要求，35％的学生是因为工作需要拿到文凭，8％的学生是为了得到新的知识、能力和素质从而能够选择新的职业，5％的学生认为根据个人兴趣能享受学习的快乐。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六、扩招学生的优缺点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通过调查，我们发现本次扩招的学生具有以下优势：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1．从业经历丰富，有一定的技术技能基础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本次扩招的学生基本上是成人在职学习者，具有丰富的从业经历和一定的技术技能基础。成人学习者的从业经历既是从事新的学习的基础，又是一种重要的学习资源，在教学过程中应重视利用这种 “经验资源”来组织教学活动，使原有的实践经验与新的学习内容建立联系。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2．自学能力较强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本次扩招的学生主要由成人组成，年龄大多在2O～4O岁之间，其特点是记忆力差，但理解能力较强，有一定的自学能力，且多数学生愿意独立自学，希望教师更多发挥组织学习、指导学习、鼓励学习的作用。在教学设计中要注重贯彻“主动介入学习过程 ”的原则，在教学过程中应根据学生的具体情况，倡导个别化学习，让学生在自主学习的过程中有更多自由选择空间。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3．注重学习效率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由于本次扩招的学生大多是在职职工，工学矛盾突出，对他们来说时间是很宝贵的，所以他们很注重学习效率。 因此，教学过程要注意讲求时效，教学安排应尽量合理周密。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4、信息技术应用能力较强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lang w:val="en-US" w:eastAsia="zh-CN"/>
        </w:rPr>
      </w:pPr>
      <w:r>
        <w:rPr>
          <w:rFonts w:hint="eastAsia"/>
          <w:lang w:val="en-US" w:eastAsia="zh-CN"/>
        </w:rPr>
        <w:t>在对学生使用网络的技能进行分析时，我们看到，大部分学生在电脑普及的今天，基本具备计算机网络操作技能。在提高学生利用网络学习的水平方面，学生在学校开设的 “线上教育”很短时间就能掌握网上学习资源的获取方法，熟悉老师、同学网上互动的渠道，掌握网上学习的方式方法。有关的基础类课程如 “计算机应用基础 ”、“基础会计电子实训”等课程从半学期的上课情况来看，学生应用计算机的水平还是不错的。学生网上学习的时间比较充足，平均在线学习的时间为每门课程400分钟。学生网上学习的动机基本端正，有51.9％的学生上网是为了学习专业知识，有44．2％的学生是为了获取学分，当然，也有3．9％的学生是为了在网上与同学聊天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但同时发现社会扩招学生又有以下缺点：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1．学习精力不足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本次扩招的学生多为已婚成人，年龄一般在25—4O岁之间，且男生较多，虽处于年富力强的中年时期，但由于他们既要完成单位的工作任务，又要照顾妻儿父母，还要应酬亲朋同学同事，所以他们的学习时间显的特别紧张，面授听课时间不能完全保证，其他活动也不能全部参加。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2、学习基础薄弱</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本次面向社会扩招采取的是 “宽进严出”的教学过程管理，属于大众教育，学生入学门坎较低；相对来说学习基础薄弱，在本次扩招倡导的教育学习模式环境下学生的自主学习能力和学习习惯上存在诸多问题：①他们在中学所接受的是传统的教育，是被动地吸取知识，因而思想观念跟不上现代教育的需要，因而在现代教育学习中常常感到无所适从，对学习小组讨论式的学习活动、上网浏览讨论或双向互动学习及其它媒体教学资源的学习缺少热情。②所掌握的现代教育技术和信息技术不能适应本次扩招生教育教学的需要。少部分年龄大的学生对网络学习不熟练，更不会使用众多的网络资源。③线上学习能力差，学习目的不明确，不能很好的适应“线上线下混合学习”的学习要求。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3、学习态度不端正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我们通过谈话和观察学生的学习态度，分析学生的学习态度大体可分为三种类型：第一是在岗的工作人员，迫于竞争岗位与职务的硬件需要。这类人员有学习背景，基础素质好，宜于参加各种学习活动，情绪稳定，但苦于工作忙，到课率低且不能自行安排自学。第二是下岗或待业青年，为了未来找到合适的工作岗位，适应应聘工作的需要取得有学历的优势。这类人员没有较好的学习背景，基础素质差，思想波动大，学习信心不稳定，学习目的及行为单一。第三是自己求知欲望迫切，不仅仅是为了取得文凭，而是确实要掌握科学知识和技能。这类人员通过学习很快学会利用现代教育技术和信息技术进行自主学习，为今后不断地获取知识奠定基础，他们是本次扩招培养的重点对象，但这类人员占的比例仅在10%左右。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4、对课堂活动兴趣不浓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根据本次学情调查，这次扩招学生对课堂上的学习活动感兴趣的人仅仅占25%左右。分析原因有两种：一是学生大多数是成年人，参加工作多年，对学习活动本身已经较少有兴趣， 而对掌握知识的必要性和重要性有充分的认识；二是受学生个性特点的影响，只有少数人对学习有浓厚的兴趣，他们在学习活动中得到了极大的满足感，因而能坚持学习。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5、年龄偏大成长背景复杂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就本次面向社会扩招的教学情况来看，学生大多是在职职工，年龄多在20-40岁之间</w:t>
      </w:r>
      <w:r>
        <w:rPr>
          <w:rFonts w:hint="default"/>
          <w:lang w:val="en-US" w:eastAsia="zh-CN"/>
        </w:rPr>
        <w:t>平均年龄偏大，</w:t>
      </w:r>
      <w:r>
        <w:rPr>
          <w:rFonts w:hint="eastAsia"/>
          <w:lang w:val="en-US" w:eastAsia="zh-CN"/>
        </w:rPr>
        <w:t>学习</w:t>
      </w:r>
      <w:r>
        <w:rPr>
          <w:rFonts w:hint="default"/>
          <w:lang w:val="en-US" w:eastAsia="zh-CN"/>
        </w:rPr>
        <w:t>积极性个体差异大</w:t>
      </w:r>
      <w:r>
        <w:rPr>
          <w:rFonts w:hint="eastAsia"/>
          <w:lang w:val="en-US" w:eastAsia="zh-CN"/>
        </w:rPr>
        <w:t>，部分来自农村的只有初中文化，来自城市的也只是中专毕业或高中都没毕业，且大部分多年没有学习经历，且成长过程中都有复杂的经历。他们虽有一定的社会实践能力储备，但自学能力、对知识的学习、归纳能力有些欠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6、个人发展愿景模糊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本次社会扩招学生大多都是退伍军人， 主要集中于有稳定收入的行政事业单位和效益较好的企业，相当部分学生从事政法工作或行政执法工作，这些单位对文凭要求较高，多数学生是怕被改革淘汰，本次学习也主要是为了顺利通过考试，尽快拿到全日制文凭，这实质上是没有认清国家本次扩招的本质和特点，忽视了知识技能的掌握和提高，对个人发展愿景模糊，在他们心目中获取文凭比学到的知识更为重要，表现为重考试轻学习，致使学生的个体内在学习动力不能满负荷运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七、提高扩招学生学习效果的策略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1、转变师生教育观念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首先要解决好教育者的教育思想和教育观念问题，要不断地学习和探索多种教学模式，不断地提高业务能力和水平，牢固地树立起现代教育思想。在教育观念上要实现从传统的校园式封闭教育向开放教育观念的转变；从一次性学校教育向终身教育的观念转变；从以教师和课堂为中心向以学生和学习为中心的教育观念的转变。其次要做好转变学生观念的工作，主要在开学时的入学教育环节来实施。此外，在平时对学生的集中教育和个别谈话中，也应贯穿转变学生观念的教育。在入学教育中应增强学生学习的主体意识，让学生了解本次扩招学生教学模式的特点。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2、创设浓厚的人文环境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本次扩招学生大多是工作和生活压力均非常大的成年人，学习困难和阻力也相当大，需要及时帮助和适时鼓励，人文关怀非常必要。概括起来说，第一，在入学时要组织入学教育，介绍学校情况和教学模式，开展使用网络辅助学习的专项培训，帮助学生了解自主的学习方法，使学生在思想上、方法上和技能上做好学习的充分准备。第二，要组织开展好小组学习活动，加强学生小组活动的互相沟通，交互合作，共同探讨自主学习的方法与经验，在有效的面授中，自觉地对自己的知识结构进行自我评价、自我塑造并加以重构。第三，经常组织召开学生座谈会，了解学生对面授辅导和教学管理的意见，及时改进工作，为学生学习提供最有效的支持。第四，建立“心理咨询网站”，进行心理健康宣传，帮助学生缓解工学矛盾、家学矛盾造成的巨大心理压力，保持健康心理状态，增强人文关怀。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3、着力培养学生自主学习能力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针对本次扩招学生教学模式的特点，在教学中应着力加强培养学生的自学能力。只有把工作的注意力放在观念的转变上和自主学习的意识培养上，才能探索出本批次社会扩招学生教育的新思路、新模式，才能保证本次工作顺利完成，才能做到与时俱进。培养和提高学生自主学习能力的过程，要改革教学方法和调动学生自主学习的积极性，引导学生学会学习，着重培养学生的学习兴趣 ，养成自主学习的习惯，采取多种形式和方法，努力提高学生的自学能力。首先，为了启发和激励学生的自学动力，可采取定期召开学生自学经验交流会，让大家各抒己见，充分肯定并宣传好的自学经验和体会 。其次，引导学生树立正确的学习目的，目的明确就会产生强大的学习动力。再次，要教会学生掌握学习方法和学习规律，学会科学安排学习时间、科学阅读与记忆、做读书笔记等，帮助学生处理好工作与学习、个人与单位、家庭的种种矛盾，为学生自主学习扫清障碍。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4、建设完备的教学资源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为学生提供完备的教学资源，是搞好本次扩招学生教育的基础。教学资源包括教学硬件资源和教学软件资源。硬件资源主要是为学生提供学习的硬件条件，如网络教室 、多媒体教室、实训教室、图书阅览室。软件资源主要指和学习有关的指导性文字材料，如专业教学计划、课程教学大纲、电子版教学设计、PPT、考核方案、多媒体学习资源等。总之要想方设法为学生提供充分而完备的学习资源，积极引导学生利用各种学习资源学习，努力提高学生的学习效果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lang w:val="en-US" w:eastAsia="zh-CN"/>
        </w:rPr>
        <w:t xml:space="preserve">5、建立过硬的教学管理队伍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社会扩招学生学习效果的优劣取决于多种因素，其中一个重要的因素就是要有过硬的教师队伍。教师不仅要掌握各种专业知识，而且要能够熟练地应用现代计算机工具和网络技术，对学生进行辅导和指导。教师要树立以学生为中心的教育思想，针对学生学习中的疑难问题能够利用先进的网络手段及时解决。因此，要胜任这种新的教学模式下的教学工作，就必须组建起过硬的专兼职教师队伍、教学管理队伍、教学技术队伍。要通过理论学习和走出去考察学习及参加各种培训等方式，大力提高教师的素质和业务能力，积极探索新的教学模式和教学方法，掌握新的现代化的教学手段，为学生提供多种支持服务，树立为学生自主学习服务的观念，向学生提供丰富的教学课件。要教会学生运用现代化的计算机网络和多媒体课件进行自主学习，不断提高学生运用各种学习媒体的能力，提高学习效果。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6、探索适宜的教学模式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根据社会扩招学生工学矛盾突出，注重学习效率的特点，在教学模式的探索上既要考虑到导向性，也应贴近学习者实际，采取逐步推进灵活多样的形式。根据学习者的年龄特征、职业特征、心理特征、学习环境、学习偏好等，来设计教学模式。既可采取以集中辅导为主，辅之以小组学习和个别化学习的模式 ；也可采取以个别化学习为主，辅以集中辅导和小组学习的模式；或完全个别化学习的模式等。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 xml:space="preserve"> 总之，本次对社会人员扩招生的教育是摸着石头过河，既要大胆又要心细，争取把每一位扩招回来的学生都培养成社会的有用人才。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p>
    <w:p>
      <w:pPr>
        <w:rPr>
          <w:rFonts w:hint="eastAsia"/>
          <w:lang w:val="en-US" w:eastAsia="zh-CN"/>
        </w:rPr>
      </w:pPr>
      <w:r>
        <w:rPr>
          <w:rFonts w:hint="eastAsia"/>
          <w:lang w:val="en-US" w:eastAsia="zh-CN"/>
        </w:rPr>
        <w:br w:type="page"/>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lang w:val="en-US" w:eastAsia="zh-CN"/>
        </w:rPr>
        <w:t>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0"/>
        <w:jc w:val="center"/>
        <w:textAlignment w:val="auto"/>
        <w:rPr>
          <w:rFonts w:hint="default" w:ascii="Segoe UI" w:hAnsi="Segoe UI" w:eastAsia="Segoe UI" w:cs="Segoe UI"/>
          <w:b w:val="0"/>
          <w:i w:val="0"/>
          <w:caps w:val="0"/>
          <w:color w:val="auto"/>
          <w:spacing w:val="0"/>
          <w:sz w:val="30"/>
          <w:szCs w:val="30"/>
          <w:lang w:val="en-US"/>
        </w:rPr>
      </w:pPr>
      <w:r>
        <w:rPr>
          <w:rFonts w:hint="eastAsia"/>
          <w:color w:val="auto"/>
          <w:sz w:val="32"/>
          <w:szCs w:val="32"/>
          <w:lang w:eastAsia="zh-CN"/>
        </w:rPr>
        <w:t>高职扩招学生学情分析调查问卷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80" w:firstLineChars="200"/>
        <w:jc w:val="left"/>
        <w:textAlignment w:val="auto"/>
        <w:rPr>
          <w:rFonts w:hint="default" w:ascii="Segoe UI" w:hAnsi="Segoe UI" w:eastAsia="Segoe UI" w:cs="Segoe UI"/>
          <w:b w:val="0"/>
          <w:i w:val="0"/>
          <w:caps w:val="0"/>
          <w:color w:val="auto"/>
          <w:spacing w:val="0"/>
          <w:kern w:val="0"/>
          <w:sz w:val="24"/>
          <w:szCs w:val="24"/>
          <w:lang w:val="en-US" w:eastAsia="zh-CN" w:bidi="ar"/>
        </w:rPr>
      </w:pPr>
      <w:r>
        <w:rPr>
          <w:rFonts w:hint="eastAsia" w:ascii="Segoe UI" w:hAnsi="Segoe UI" w:eastAsia="Segoe UI" w:cs="Segoe UI"/>
          <w:b w:val="0"/>
          <w:i w:val="0"/>
          <w:caps w:val="0"/>
          <w:color w:val="auto"/>
          <w:spacing w:val="0"/>
          <w:kern w:val="0"/>
          <w:sz w:val="24"/>
          <w:szCs w:val="24"/>
          <w:lang w:val="en-US" w:eastAsia="zh-CN" w:bidi="ar"/>
        </w:rPr>
        <w:t>同学，</w:t>
      </w:r>
      <w:r>
        <w:rPr>
          <w:rFonts w:hint="default" w:ascii="Segoe UI" w:hAnsi="Segoe UI" w:eastAsia="Segoe UI" w:cs="Segoe UI"/>
          <w:b w:val="0"/>
          <w:i w:val="0"/>
          <w:caps w:val="0"/>
          <w:color w:val="auto"/>
          <w:spacing w:val="0"/>
          <w:kern w:val="0"/>
          <w:sz w:val="24"/>
          <w:szCs w:val="24"/>
          <w:lang w:val="en-US" w:eastAsia="zh-CN" w:bidi="ar"/>
        </w:rPr>
        <w:t>您好，欢迎参加本次答题，为了</w:t>
      </w:r>
      <w:r>
        <w:rPr>
          <w:rFonts w:hint="eastAsia" w:ascii="Segoe UI" w:hAnsi="Segoe UI" w:eastAsia="Segoe UI" w:cs="Segoe UI"/>
          <w:b w:val="0"/>
          <w:i w:val="0"/>
          <w:caps w:val="0"/>
          <w:color w:val="auto"/>
          <w:spacing w:val="0"/>
          <w:kern w:val="0"/>
          <w:sz w:val="24"/>
          <w:szCs w:val="24"/>
          <w:lang w:val="en-US" w:eastAsia="zh-CN" w:bidi="ar"/>
        </w:rPr>
        <w:t>更好的制定大家的人才培养方案，</w:t>
      </w:r>
      <w:r>
        <w:rPr>
          <w:rFonts w:hint="default" w:ascii="Segoe UI" w:hAnsi="Segoe UI" w:eastAsia="Segoe UI" w:cs="Segoe UI"/>
          <w:b w:val="0"/>
          <w:i w:val="0"/>
          <w:caps w:val="0"/>
          <w:color w:val="auto"/>
          <w:spacing w:val="0"/>
          <w:kern w:val="0"/>
          <w:sz w:val="24"/>
          <w:szCs w:val="24"/>
          <w:lang w:val="en-US" w:eastAsia="zh-CN" w:bidi="ar"/>
        </w:rPr>
        <w:t>做此问卷，希望您如实填写，谢谢您的合作！</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Chars="0" w:right="0" w:rightChars="0"/>
        <w:jc w:val="left"/>
        <w:rPr>
          <w:rFonts w:hint="default" w:ascii="Segoe UI" w:hAnsi="Segoe UI" w:eastAsia="Segoe UI" w:cs="Segoe UI"/>
          <w:b w:val="0"/>
          <w:i w:val="0"/>
          <w:caps w:val="0"/>
          <w:color w:val="auto"/>
          <w:spacing w:val="0"/>
          <w:kern w:val="0"/>
          <w:sz w:val="24"/>
          <w:szCs w:val="24"/>
          <w:lang w:val="en-US" w:eastAsia="zh-CN" w:bidi="ar"/>
        </w:rPr>
      </w:pPr>
      <w:r>
        <w:rPr>
          <w:rFonts w:hint="eastAsia" w:ascii="Segoe UI" w:hAnsi="Segoe UI" w:eastAsia="Segoe UI" w:cs="Segoe UI"/>
          <w:b w:val="0"/>
          <w:i w:val="0"/>
          <w:caps w:val="0"/>
          <w:color w:val="auto"/>
          <w:spacing w:val="0"/>
          <w:kern w:val="0"/>
          <w:sz w:val="24"/>
          <w:szCs w:val="24"/>
          <w:lang w:val="en-US" w:eastAsia="zh-CN" w:bidi="ar"/>
        </w:rPr>
        <w:t>一、</w:t>
      </w:r>
      <w:r>
        <w:rPr>
          <w:rFonts w:hint="eastAsia" w:ascii="Segoe UI" w:hAnsi="Segoe UI" w:eastAsia="Segoe UI" w:cs="Segoe UI"/>
          <w:b w:val="0"/>
          <w:i w:val="0"/>
          <w:caps w:val="0"/>
          <w:color w:val="auto"/>
          <w:spacing w:val="0"/>
          <w:kern w:val="0"/>
          <w:sz w:val="21"/>
          <w:szCs w:val="21"/>
          <w:lang w:val="en-US" w:eastAsia="zh-CN" w:bidi="ar"/>
        </w:rPr>
        <w:t>基本情况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0"/>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Q1：你的</w:t>
      </w:r>
      <w:r>
        <w:rPr>
          <w:rFonts w:hint="eastAsia" w:ascii="Segoe UI" w:hAnsi="Segoe UI" w:eastAsia="Segoe UI" w:cs="Segoe UI"/>
          <w:b w:val="0"/>
          <w:i w:val="0"/>
          <w:caps w:val="0"/>
          <w:color w:val="auto"/>
          <w:spacing w:val="0"/>
          <w:kern w:val="0"/>
          <w:sz w:val="24"/>
          <w:szCs w:val="24"/>
          <w:lang w:val="en-US" w:eastAsia="zh-CN" w:bidi="ar"/>
        </w:rPr>
        <w:t>性别</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right="0" w:firstLine="420" w:firstLineChars="200"/>
        <w:jc w:val="left"/>
        <w:textAlignment w:val="auto"/>
        <w:rPr>
          <w:rFonts w:hint="default" w:ascii="Segoe UI" w:hAnsi="Segoe UI" w:eastAsia="Segoe UI" w:cs="Segoe UI"/>
          <w:b w:val="0"/>
          <w:i w:val="0"/>
          <w:caps w:val="0"/>
          <w:color w:val="auto"/>
          <w:spacing w:val="0"/>
          <w:sz w:val="21"/>
          <w:szCs w:val="21"/>
        </w:rPr>
      </w:pPr>
      <w:r>
        <w:rPr>
          <w:rFonts w:hint="eastAsia" w:ascii="Segoe UI" w:hAnsi="Segoe UI" w:eastAsia="Segoe UI" w:cs="Segoe UI"/>
          <w:b w:val="0"/>
          <w:i w:val="0"/>
          <w:caps w:val="0"/>
          <w:color w:val="auto"/>
          <w:spacing w:val="0"/>
          <w:kern w:val="0"/>
          <w:sz w:val="21"/>
          <w:szCs w:val="21"/>
          <w:lang w:val="en-US" w:eastAsia="zh-CN" w:bidi="ar"/>
        </w:rPr>
        <w:t xml:space="preserve">A.男    </w:t>
      </w: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B.女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0"/>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Q2：</w:t>
      </w:r>
      <w:r>
        <w:rPr>
          <w:rFonts w:hint="eastAsia" w:ascii="Segoe UI" w:hAnsi="Segoe UI" w:eastAsia="Segoe UI" w:cs="Segoe UI"/>
          <w:b w:val="0"/>
          <w:i w:val="0"/>
          <w:caps w:val="0"/>
          <w:color w:val="auto"/>
          <w:spacing w:val="0"/>
          <w:kern w:val="0"/>
          <w:sz w:val="24"/>
          <w:szCs w:val="24"/>
          <w:lang w:val="en-US" w:eastAsia="zh-CN" w:bidi="ar"/>
        </w:rPr>
        <w:t>你是否已婚</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right="0" w:firstLine="420" w:firstLineChars="200"/>
        <w:jc w:val="left"/>
        <w:textAlignment w:val="auto"/>
        <w:rPr>
          <w:rFonts w:hint="default"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A.已婚   B.未婚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right="0"/>
        <w:jc w:val="left"/>
        <w:textAlignment w:val="auto"/>
        <w:rPr>
          <w:rFonts w:hint="eastAsia" w:ascii="Segoe UI" w:hAnsi="Segoe UI" w:eastAsia="Segoe UI" w:cs="Segoe UI"/>
          <w:b w:val="0"/>
          <w:i w:val="0"/>
          <w:caps w:val="0"/>
          <w:color w:val="auto"/>
          <w:spacing w:val="0"/>
          <w:kern w:val="0"/>
          <w:sz w:val="24"/>
          <w:szCs w:val="24"/>
          <w:lang w:val="en-US" w:eastAsia="zh-CN" w:bidi="ar"/>
        </w:rPr>
      </w:pPr>
      <w:r>
        <w:rPr>
          <w:rFonts w:hint="default" w:ascii="Segoe UI" w:hAnsi="Segoe UI" w:eastAsia="Segoe UI" w:cs="Segoe UI"/>
          <w:b w:val="0"/>
          <w:i w:val="0"/>
          <w:caps w:val="0"/>
          <w:color w:val="auto"/>
          <w:spacing w:val="0"/>
          <w:kern w:val="0"/>
          <w:sz w:val="24"/>
          <w:szCs w:val="24"/>
          <w:lang w:val="en-US" w:eastAsia="zh-CN" w:bidi="ar"/>
        </w:rPr>
        <w:t>Q3：</w:t>
      </w:r>
      <w:r>
        <w:rPr>
          <w:rFonts w:hint="eastAsia" w:ascii="Segoe UI" w:hAnsi="Segoe UI" w:eastAsia="Segoe UI" w:cs="Segoe UI"/>
          <w:b w:val="0"/>
          <w:i w:val="0"/>
          <w:caps w:val="0"/>
          <w:color w:val="auto"/>
          <w:spacing w:val="0"/>
          <w:kern w:val="0"/>
          <w:sz w:val="24"/>
          <w:szCs w:val="24"/>
          <w:lang w:val="en-US" w:eastAsia="zh-CN" w:bidi="ar"/>
        </w:rPr>
        <w:t>你是否服过兵役</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right="0" w:firstLine="420" w:firstLineChars="200"/>
        <w:jc w:val="left"/>
        <w:textAlignment w:val="auto"/>
        <w:rPr>
          <w:rFonts w:hint="default" w:ascii="Segoe UI" w:hAnsi="Segoe UI" w:eastAsia="Segoe UI" w:cs="Segoe UI"/>
          <w:b w:val="0"/>
          <w:i w:val="0"/>
          <w:caps w:val="0"/>
          <w:color w:val="auto"/>
          <w:spacing w:val="0"/>
          <w:kern w:val="0"/>
          <w:sz w:val="21"/>
          <w:szCs w:val="21"/>
          <w:lang w:val="en-US" w:eastAsia="zh-CN" w:bidi="ar"/>
        </w:rPr>
      </w:pP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A.是     B.否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0"/>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Q4：</w:t>
      </w:r>
      <w:r>
        <w:rPr>
          <w:rFonts w:hint="eastAsia" w:ascii="Segoe UI" w:hAnsi="Segoe UI" w:eastAsia="Segoe UI" w:cs="Segoe UI"/>
          <w:b w:val="0"/>
          <w:i w:val="0"/>
          <w:caps w:val="0"/>
          <w:color w:val="auto"/>
          <w:spacing w:val="0"/>
          <w:kern w:val="0"/>
          <w:sz w:val="24"/>
          <w:szCs w:val="24"/>
          <w:lang w:val="en-US" w:eastAsia="zh-CN" w:bidi="ar"/>
        </w:rPr>
        <w:t>你的年龄</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0"/>
        <w:jc w:val="left"/>
        <w:textAlignment w:val="auto"/>
        <w:rPr>
          <w:rFonts w:hint="default" w:ascii="Segoe UI" w:hAnsi="Segoe UI" w:eastAsia="Segoe UI" w:cs="Segoe UI"/>
          <w:b w:val="0"/>
          <w:i w:val="0"/>
          <w:caps w:val="0"/>
          <w:color w:val="auto"/>
          <w:spacing w:val="0"/>
          <w:kern w:val="0"/>
          <w:sz w:val="21"/>
          <w:szCs w:val="21"/>
          <w:lang w:val="en-US" w:eastAsia="zh-CN" w:bidi="ar"/>
        </w:rPr>
      </w:pP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 xml:space="preserve">    A.20～25岁   B.26～30岁  C.30～35岁  D.40岁以上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0"/>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Q5：</w:t>
      </w:r>
      <w:r>
        <w:rPr>
          <w:rFonts w:hint="eastAsia" w:ascii="Segoe UI" w:hAnsi="Segoe UI" w:eastAsia="Segoe UI" w:cs="Segoe UI"/>
          <w:b w:val="0"/>
          <w:i w:val="0"/>
          <w:caps w:val="0"/>
          <w:color w:val="auto"/>
          <w:spacing w:val="0"/>
          <w:kern w:val="0"/>
          <w:sz w:val="24"/>
          <w:szCs w:val="24"/>
          <w:lang w:val="en-US" w:eastAsia="zh-CN" w:bidi="ar"/>
        </w:rPr>
        <w:t>你的工作情况</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20" w:firstLineChars="200"/>
        <w:jc w:val="left"/>
        <w:textAlignment w:val="auto"/>
        <w:rPr>
          <w:rFonts w:hint="default" w:ascii="Segoe UI" w:hAnsi="Segoe UI" w:eastAsia="Segoe UI" w:cs="Segoe UI"/>
          <w:b w:val="0"/>
          <w:i w:val="0"/>
          <w:caps w:val="0"/>
          <w:color w:val="auto"/>
          <w:spacing w:val="0"/>
          <w:kern w:val="0"/>
          <w:sz w:val="21"/>
          <w:szCs w:val="21"/>
          <w:lang w:val="en-US" w:eastAsia="zh-CN" w:bidi="ar"/>
        </w:rPr>
      </w:pP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A.国家机关   B.事业单位    C.私有企业    D.待业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0"/>
        <w:jc w:val="left"/>
        <w:textAlignment w:val="auto"/>
        <w:rPr>
          <w:rFonts w:hint="default" w:ascii="Segoe UI" w:hAnsi="Segoe UI" w:eastAsia="Segoe UI" w:cs="Segoe UI"/>
          <w:b w:val="0"/>
          <w:i w:val="0"/>
          <w:caps w:val="0"/>
          <w:color w:val="auto"/>
          <w:spacing w:val="0"/>
          <w:kern w:val="0"/>
          <w:sz w:val="24"/>
          <w:szCs w:val="24"/>
          <w:lang w:val="en-US" w:eastAsia="zh-CN" w:bidi="ar"/>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6</w:t>
      </w:r>
      <w:r>
        <w:rPr>
          <w:rFonts w:hint="default" w:ascii="Segoe UI" w:hAnsi="Segoe UI" w:eastAsia="Segoe UI" w:cs="Segoe UI"/>
          <w:b w:val="0"/>
          <w:i w:val="0"/>
          <w:caps w:val="0"/>
          <w:color w:val="auto"/>
          <w:spacing w:val="0"/>
          <w:kern w:val="0"/>
          <w:sz w:val="24"/>
          <w:szCs w:val="24"/>
          <w:lang w:val="en-US" w:eastAsia="zh-CN" w:bidi="ar"/>
        </w:rPr>
        <w:t>：你</w:t>
      </w:r>
      <w:r>
        <w:rPr>
          <w:rFonts w:hint="eastAsia"/>
          <w:color w:val="auto"/>
          <w:lang w:val="en-US" w:eastAsia="zh-CN"/>
        </w:rPr>
        <w:t>工作年限是</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20" w:firstLineChars="200"/>
        <w:jc w:val="left"/>
        <w:textAlignment w:val="auto"/>
        <w:rPr>
          <w:rFonts w:hint="eastAsia"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A.1-2年     B.3—5年    C.5—10年     D.10年以上</w:t>
      </w:r>
    </w:p>
    <w:p>
      <w:pPr>
        <w:spacing w:line="360" w:lineRule="exact"/>
        <w:rPr>
          <w:rFonts w:hint="eastAsia" w:ascii="仿宋_GB2312" w:hAnsi="宋体" w:eastAsia="仿宋_GB2312"/>
          <w:color w:val="auto"/>
          <w:sz w:val="21"/>
          <w:szCs w:val="21"/>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7</w:t>
      </w:r>
      <w:r>
        <w:rPr>
          <w:rFonts w:hint="default" w:ascii="Segoe UI" w:hAnsi="Segoe UI" w:eastAsia="Segoe UI" w:cs="Segoe UI"/>
          <w:b w:val="0"/>
          <w:i w:val="0"/>
          <w:caps w:val="0"/>
          <w:color w:val="auto"/>
          <w:spacing w:val="0"/>
          <w:kern w:val="0"/>
          <w:sz w:val="24"/>
          <w:szCs w:val="24"/>
          <w:lang w:val="en-US" w:eastAsia="zh-CN" w:bidi="ar"/>
        </w:rPr>
        <w:t>：</w:t>
      </w:r>
      <w:r>
        <w:rPr>
          <w:rFonts w:hint="eastAsia"/>
          <w:color w:val="auto"/>
          <w:lang w:val="en-US" w:eastAsia="zh-CN"/>
        </w:rPr>
        <w:t>吸引你入学的原因是</w:t>
      </w:r>
      <w:r>
        <w:rPr>
          <w:rFonts w:hint="eastAsia" w:ascii="仿宋_GB2312" w:hAnsi="宋体" w:eastAsia="仿宋_GB2312"/>
          <w:color w:val="auto"/>
          <w:sz w:val="21"/>
          <w:szCs w:val="21"/>
        </w:rPr>
        <w:t>？</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20" w:firstLineChars="200"/>
        <w:jc w:val="left"/>
        <w:textAlignment w:val="auto"/>
        <w:rPr>
          <w:rFonts w:hint="eastAsia"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 xml:space="preserve">A.学习形式适宜（工学交替-----节假日集中教学模式）   B.不需要入学考试的方式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20" w:firstLineChars="200"/>
        <w:jc w:val="left"/>
        <w:textAlignment w:val="auto"/>
        <w:rPr>
          <w:rFonts w:hint="eastAsia"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C.学费国家补贴                                     D. 其他</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olor w:val="auto"/>
          <w:lang w:val="en-US" w:eastAsia="zh-CN"/>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8</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你</w:t>
      </w:r>
      <w:r>
        <w:rPr>
          <w:rFonts w:hint="eastAsia"/>
          <w:color w:val="auto"/>
          <w:lang w:val="en-US" w:eastAsia="zh-CN"/>
        </w:rPr>
        <w:t>学习的目的是？</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20" w:firstLineChars="200"/>
        <w:jc w:val="left"/>
        <w:textAlignment w:val="auto"/>
        <w:rPr>
          <w:rFonts w:hint="eastAsia"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 xml:space="preserve">工作需要文凭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Chars="200" w:right="0" w:rightChars="0"/>
        <w:jc w:val="left"/>
        <w:textAlignment w:val="auto"/>
        <w:rPr>
          <w:rFonts w:hint="eastAsia"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 xml:space="preserve">B.为了得到新的知识、能力和素质从而能够选择新的职业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20" w:firstLineChars="200"/>
        <w:jc w:val="left"/>
        <w:textAlignment w:val="auto"/>
        <w:rPr>
          <w:rFonts w:hint="eastAsia"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 xml:space="preserve">C.为了充实提高自己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20" w:firstLineChars="200"/>
        <w:jc w:val="left"/>
        <w:textAlignment w:val="auto"/>
        <w:rPr>
          <w:rFonts w:hint="eastAsia"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D .个人兴趣，能享受学习的快乐</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Segoe UI" w:hAnsi="Segoe UI" w:eastAsia="Segoe UI" w:cs="Segoe UI"/>
          <w:b w:val="0"/>
          <w:i w:val="0"/>
          <w:caps w:val="0"/>
          <w:color w:val="auto"/>
          <w:spacing w:val="0"/>
          <w:kern w:val="0"/>
          <w:sz w:val="24"/>
          <w:szCs w:val="24"/>
          <w:lang w:val="en-US" w:eastAsia="zh-CN" w:bidi="ar"/>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9</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你的学习基础是？（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20" w:firstLineChars="200"/>
        <w:jc w:val="left"/>
        <w:textAlignment w:val="auto"/>
        <w:rPr>
          <w:rFonts w:hint="eastAsia"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A.初中文化    B.高中文化    C.中专/技校     D.在职专科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Segoe UI" w:hAnsi="Segoe UI" w:eastAsia="Segoe UI" w:cs="Segoe UI"/>
          <w:b w:val="0"/>
          <w:i w:val="0"/>
          <w:caps w:val="0"/>
          <w:color w:val="auto"/>
          <w:spacing w:val="0"/>
          <w:kern w:val="0"/>
          <w:sz w:val="24"/>
          <w:szCs w:val="24"/>
          <w:lang w:val="en-US" w:eastAsia="zh-CN" w:bidi="ar"/>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10</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简述你的从业经历：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Segoe UI" w:hAnsi="Segoe UI" w:eastAsia="Segoe UI" w:cs="Segoe UI"/>
          <w:b w:val="0"/>
          <w:i w:val="0"/>
          <w:caps w:val="0"/>
          <w:color w:val="auto"/>
          <w:spacing w:val="0"/>
          <w:kern w:val="0"/>
          <w:sz w:val="24"/>
          <w:szCs w:val="24"/>
          <w:u w:val="single"/>
          <w:lang w:val="en-US" w:eastAsia="zh-CN" w:bidi="ar"/>
        </w:rPr>
      </w:pPr>
      <w:r>
        <w:rPr>
          <w:rFonts w:hint="eastAsia" w:ascii="Segoe UI" w:hAnsi="Segoe UI" w:eastAsia="Segoe UI" w:cs="Segoe UI"/>
          <w:b w:val="0"/>
          <w:i w:val="0"/>
          <w:caps w:val="0"/>
          <w:color w:val="auto"/>
          <w:spacing w:val="0"/>
          <w:kern w:val="0"/>
          <w:sz w:val="24"/>
          <w:szCs w:val="24"/>
          <w:lang w:val="en-US" w:eastAsia="zh-CN" w:bidi="ar"/>
        </w:rPr>
        <w:t xml:space="preserve">      </w:t>
      </w:r>
      <w:r>
        <w:rPr>
          <w:rFonts w:hint="eastAsia" w:ascii="Segoe UI" w:hAnsi="Segoe UI" w:eastAsia="Segoe UI" w:cs="Segoe UI"/>
          <w:b w:val="0"/>
          <w:i w:val="0"/>
          <w:caps w:val="0"/>
          <w:color w:val="auto"/>
          <w:spacing w:val="0"/>
          <w:kern w:val="0"/>
          <w:sz w:val="24"/>
          <w:szCs w:val="24"/>
          <w:u w:val="single"/>
          <w:lang w:val="en-US" w:eastAsia="zh-CN" w:bidi="ar"/>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Chars="0" w:right="0" w:rightChars="0"/>
        <w:jc w:val="left"/>
        <w:textAlignment w:val="auto"/>
        <w:rPr>
          <w:rFonts w:hint="default" w:ascii="Segoe UI" w:hAnsi="Segoe UI" w:eastAsia="Segoe UI" w:cs="Segoe UI"/>
          <w:b w:val="0"/>
          <w:i w:val="0"/>
          <w:caps w:val="0"/>
          <w:color w:val="auto"/>
          <w:spacing w:val="0"/>
          <w:kern w:val="0"/>
          <w:sz w:val="21"/>
          <w:szCs w:val="21"/>
          <w:lang w:val="en-US" w:eastAsia="zh-CN" w:bidi="ar"/>
        </w:rPr>
      </w:pPr>
      <w:r>
        <w:rPr>
          <w:rFonts w:hint="default" w:ascii="Segoe UI" w:hAnsi="Segoe UI" w:eastAsia="Segoe UI" w:cs="Segoe UI"/>
          <w:b w:val="0"/>
          <w:i w:val="0"/>
          <w:caps w:val="0"/>
          <w:color w:val="auto"/>
          <w:spacing w:val="0"/>
          <w:kern w:val="0"/>
          <w:sz w:val="21"/>
          <w:szCs w:val="21"/>
          <w:lang w:val="en-US" w:eastAsia="zh-CN" w:bidi="ar"/>
        </w:rPr>
        <w:t>二、</w:t>
      </w:r>
      <w:r>
        <w:rPr>
          <w:rFonts w:hint="eastAsia" w:ascii="Segoe UI" w:hAnsi="Segoe UI" w:eastAsia="Segoe UI" w:cs="Segoe UI"/>
          <w:b w:val="0"/>
          <w:i w:val="0"/>
          <w:caps w:val="0"/>
          <w:color w:val="auto"/>
          <w:spacing w:val="0"/>
          <w:kern w:val="0"/>
          <w:sz w:val="21"/>
          <w:szCs w:val="21"/>
          <w:lang w:val="en-US" w:eastAsia="zh-CN" w:bidi="ar"/>
        </w:rPr>
        <w:t>学习</w:t>
      </w:r>
      <w:r>
        <w:rPr>
          <w:rFonts w:hint="default" w:ascii="Segoe UI" w:hAnsi="Segoe UI" w:eastAsia="Segoe UI" w:cs="Segoe UI"/>
          <w:b w:val="0"/>
          <w:i w:val="0"/>
          <w:caps w:val="0"/>
          <w:color w:val="auto"/>
          <w:spacing w:val="0"/>
          <w:kern w:val="0"/>
          <w:sz w:val="21"/>
          <w:szCs w:val="21"/>
          <w:lang w:val="en-US" w:eastAsia="zh-CN" w:bidi="ar"/>
        </w:rPr>
        <w:t>方面</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Q1：对待学习缺乏热情和积极性？</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630" w:firstLineChars="300"/>
        <w:jc w:val="left"/>
        <w:textAlignment w:val="auto"/>
        <w:rPr>
          <w:rFonts w:hint="default" w:ascii="Segoe UI" w:hAnsi="Segoe UI" w:eastAsia="Segoe UI" w:cs="Segoe UI"/>
          <w:b w:val="0"/>
          <w:i w:val="0"/>
          <w:caps w:val="0"/>
          <w:color w:val="auto"/>
          <w:spacing w:val="0"/>
          <w:kern w:val="0"/>
          <w:sz w:val="24"/>
          <w:szCs w:val="24"/>
          <w:lang w:val="en-US" w:eastAsia="zh-CN" w:bidi="ar"/>
        </w:rPr>
      </w:pPr>
      <w:r>
        <w:rPr>
          <w:rFonts w:hint="eastAsia" w:ascii="Segoe UI" w:hAnsi="Segoe UI" w:eastAsia="Segoe UI" w:cs="Segoe UI"/>
          <w:b w:val="0"/>
          <w:i w:val="0"/>
          <w:caps w:val="0"/>
          <w:color w:val="auto"/>
          <w:spacing w:val="0"/>
          <w:kern w:val="0"/>
          <w:sz w:val="21"/>
          <w:szCs w:val="21"/>
          <w:lang w:val="en-US" w:eastAsia="zh-CN" w:bidi="ar"/>
        </w:rPr>
        <w:t>A.</w:t>
      </w:r>
      <w:r>
        <w:rPr>
          <w:rFonts w:hint="default" w:ascii="Segoe UI" w:hAnsi="Segoe UI" w:eastAsia="Segoe UI" w:cs="Segoe UI"/>
          <w:b w:val="0"/>
          <w:i w:val="0"/>
          <w:caps w:val="0"/>
          <w:color w:val="auto"/>
          <w:spacing w:val="0"/>
          <w:kern w:val="0"/>
          <w:sz w:val="21"/>
          <w:szCs w:val="21"/>
          <w:lang w:val="en-US" w:eastAsia="zh-CN" w:bidi="ar"/>
        </w:rPr>
        <w:t> 是</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 xml:space="preserve">  B.</w:t>
      </w:r>
      <w:r>
        <w:rPr>
          <w:rFonts w:hint="default" w:ascii="Segoe UI" w:hAnsi="Segoe UI" w:eastAsia="Segoe UI" w:cs="Segoe UI"/>
          <w:b w:val="0"/>
          <w:i w:val="0"/>
          <w:caps w:val="0"/>
          <w:color w:val="auto"/>
          <w:spacing w:val="0"/>
          <w:kern w:val="0"/>
          <w:sz w:val="21"/>
          <w:szCs w:val="21"/>
          <w:lang w:val="en-US" w:eastAsia="zh-CN" w:bidi="ar"/>
        </w:rPr>
        <w:t>否</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2</w:t>
      </w:r>
      <w:r>
        <w:rPr>
          <w:rFonts w:hint="default" w:ascii="Segoe UI" w:hAnsi="Segoe UI" w:eastAsia="Segoe UI" w:cs="Segoe UI"/>
          <w:b w:val="0"/>
          <w:i w:val="0"/>
          <w:caps w:val="0"/>
          <w:color w:val="auto"/>
          <w:spacing w:val="0"/>
          <w:kern w:val="0"/>
          <w:sz w:val="24"/>
          <w:szCs w:val="24"/>
          <w:lang w:val="en-US" w:eastAsia="zh-CN" w:bidi="ar"/>
        </w:rPr>
        <w:t>：你网上学习</w:t>
      </w:r>
      <w:r>
        <w:rPr>
          <w:rFonts w:hint="eastAsia" w:ascii="Segoe UI" w:hAnsi="Segoe UI" w:eastAsia="Segoe UI" w:cs="Segoe UI"/>
          <w:b w:val="0"/>
          <w:i w:val="0"/>
          <w:caps w:val="0"/>
          <w:color w:val="auto"/>
          <w:spacing w:val="0"/>
          <w:kern w:val="0"/>
          <w:sz w:val="24"/>
          <w:szCs w:val="24"/>
          <w:lang w:val="en-US" w:eastAsia="zh-CN" w:bidi="ar"/>
        </w:rPr>
        <w:t>主要原因是</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20" w:firstLineChars="200"/>
        <w:jc w:val="left"/>
        <w:textAlignment w:val="auto"/>
        <w:rPr>
          <w:rFonts w:hint="default"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A.为了学习专业知识   B.为了获取学分   C.为了在网上与同学聊天</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3</w:t>
      </w:r>
      <w:r>
        <w:rPr>
          <w:rFonts w:hint="default" w:ascii="Segoe UI" w:hAnsi="Segoe UI" w:eastAsia="Segoe UI" w:cs="Segoe UI"/>
          <w:b w:val="0"/>
          <w:i w:val="0"/>
          <w:caps w:val="0"/>
          <w:color w:val="auto"/>
          <w:spacing w:val="0"/>
          <w:kern w:val="0"/>
          <w:sz w:val="24"/>
          <w:szCs w:val="24"/>
          <w:lang w:val="en-US" w:eastAsia="zh-CN" w:bidi="ar"/>
        </w:rPr>
        <w:t>：通常</w:t>
      </w:r>
      <w:r>
        <w:rPr>
          <w:rFonts w:hint="eastAsia" w:ascii="Segoe UI" w:hAnsi="Segoe UI" w:eastAsia="宋体" w:cs="Segoe UI"/>
          <w:b w:val="0"/>
          <w:i w:val="0"/>
          <w:caps w:val="0"/>
          <w:color w:val="auto"/>
          <w:spacing w:val="0"/>
          <w:kern w:val="0"/>
          <w:sz w:val="24"/>
          <w:szCs w:val="24"/>
          <w:lang w:val="en-US" w:eastAsia="zh-CN" w:bidi="ar"/>
        </w:rPr>
        <w:t>你</w:t>
      </w:r>
      <w:r>
        <w:rPr>
          <w:rFonts w:hint="default" w:ascii="Segoe UI" w:hAnsi="Segoe UI" w:eastAsia="Segoe UI" w:cs="Segoe UI"/>
          <w:b w:val="0"/>
          <w:i w:val="0"/>
          <w:caps w:val="0"/>
          <w:color w:val="auto"/>
          <w:spacing w:val="0"/>
          <w:kern w:val="0"/>
          <w:sz w:val="24"/>
          <w:szCs w:val="24"/>
          <w:lang w:val="en-US" w:eastAsia="zh-CN" w:bidi="ar"/>
        </w:rPr>
        <w:t>平均每天</w:t>
      </w:r>
      <w:r>
        <w:rPr>
          <w:rFonts w:hint="eastAsia" w:ascii="Segoe UI" w:hAnsi="Segoe UI" w:eastAsia="Segoe UI" w:cs="Segoe UI"/>
          <w:b w:val="0"/>
          <w:i w:val="0"/>
          <w:caps w:val="0"/>
          <w:color w:val="auto"/>
          <w:spacing w:val="0"/>
          <w:kern w:val="0"/>
          <w:sz w:val="24"/>
          <w:szCs w:val="24"/>
          <w:lang w:val="en-US" w:eastAsia="zh-CN" w:bidi="ar"/>
        </w:rPr>
        <w:t>网上</w:t>
      </w:r>
      <w:r>
        <w:rPr>
          <w:rFonts w:hint="default" w:ascii="Segoe UI" w:hAnsi="Segoe UI" w:eastAsia="Segoe UI" w:cs="Segoe UI"/>
          <w:b w:val="0"/>
          <w:i w:val="0"/>
          <w:caps w:val="0"/>
          <w:color w:val="auto"/>
          <w:spacing w:val="0"/>
          <w:kern w:val="0"/>
          <w:sz w:val="24"/>
          <w:szCs w:val="24"/>
          <w:lang w:val="en-US" w:eastAsia="zh-CN" w:bidi="ar"/>
        </w:rPr>
        <w:t>学习多长时间（除正常上课外）？</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20" w:firstLineChars="200"/>
        <w:jc w:val="left"/>
        <w:textAlignment w:val="auto"/>
        <w:rPr>
          <w:rFonts w:hint="default" w:ascii="Segoe UI" w:hAnsi="Segoe UI" w:eastAsia="Segoe UI" w:cs="Segoe UI"/>
          <w:b w:val="0"/>
          <w:i w:val="0"/>
          <w:caps w:val="0"/>
          <w:color w:val="auto"/>
          <w:spacing w:val="0"/>
          <w:sz w:val="21"/>
          <w:szCs w:val="21"/>
        </w:rPr>
      </w:pP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A.</w:t>
      </w:r>
      <w:r>
        <w:rPr>
          <w:rFonts w:hint="default" w:ascii="Segoe UI" w:hAnsi="Segoe UI" w:eastAsia="Segoe UI" w:cs="Segoe UI"/>
          <w:b w:val="0"/>
          <w:i w:val="0"/>
          <w:caps w:val="0"/>
          <w:color w:val="auto"/>
          <w:spacing w:val="0"/>
          <w:kern w:val="0"/>
          <w:sz w:val="21"/>
          <w:szCs w:val="21"/>
          <w:lang w:val="en-US" w:eastAsia="zh-CN" w:bidi="ar"/>
        </w:rPr>
        <w:t>一小时以下</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B.</w:t>
      </w:r>
      <w:r>
        <w:rPr>
          <w:rFonts w:hint="default" w:ascii="Segoe UI" w:hAnsi="Segoe UI" w:eastAsia="Segoe UI" w:cs="Segoe UI"/>
          <w:b w:val="0"/>
          <w:i w:val="0"/>
          <w:caps w:val="0"/>
          <w:color w:val="auto"/>
          <w:spacing w:val="0"/>
          <w:kern w:val="0"/>
          <w:sz w:val="21"/>
          <w:szCs w:val="21"/>
          <w:lang w:val="en-US" w:eastAsia="zh-CN" w:bidi="ar"/>
        </w:rPr>
        <w:t>1~3小时</w:t>
      </w:r>
      <w:r>
        <w:rPr>
          <w:rFonts w:hint="eastAsia" w:ascii="Segoe UI" w:hAnsi="Segoe UI" w:eastAsia="Segoe UI" w:cs="Segoe UI"/>
          <w:b w:val="0"/>
          <w:i w:val="0"/>
          <w:caps w:val="0"/>
          <w:color w:val="auto"/>
          <w:spacing w:val="0"/>
          <w:kern w:val="0"/>
          <w:sz w:val="21"/>
          <w:szCs w:val="21"/>
          <w:lang w:val="en-US" w:eastAsia="zh-CN" w:bidi="ar"/>
        </w:rPr>
        <w:t xml:space="preserve">  C.</w:t>
      </w:r>
      <w:r>
        <w:rPr>
          <w:rFonts w:hint="default" w:ascii="Segoe UI" w:hAnsi="Segoe UI" w:eastAsia="Segoe UI" w:cs="Segoe UI"/>
          <w:b w:val="0"/>
          <w:i w:val="0"/>
          <w:caps w:val="0"/>
          <w:color w:val="auto"/>
          <w:spacing w:val="0"/>
          <w:kern w:val="0"/>
          <w:sz w:val="21"/>
          <w:szCs w:val="21"/>
          <w:lang w:val="en-US" w:eastAsia="zh-CN" w:bidi="ar"/>
        </w:rPr>
        <w:t> 3~5小时</w:t>
      </w:r>
      <w:r>
        <w:rPr>
          <w:rFonts w:hint="eastAsia" w:ascii="Segoe UI" w:hAnsi="Segoe UI" w:eastAsia="Segoe UI" w:cs="Segoe UI"/>
          <w:b w:val="0"/>
          <w:i w:val="0"/>
          <w:caps w:val="0"/>
          <w:color w:val="auto"/>
          <w:spacing w:val="0"/>
          <w:kern w:val="0"/>
          <w:sz w:val="21"/>
          <w:szCs w:val="21"/>
          <w:lang w:val="en-US" w:eastAsia="zh-CN" w:bidi="ar"/>
        </w:rPr>
        <w:t xml:space="preserve">  D.</w:t>
      </w:r>
      <w:r>
        <w:rPr>
          <w:rFonts w:hint="default" w:ascii="Segoe UI" w:hAnsi="Segoe UI" w:eastAsia="Segoe UI" w:cs="Segoe UI"/>
          <w:b w:val="0"/>
          <w:i w:val="0"/>
          <w:caps w:val="0"/>
          <w:color w:val="auto"/>
          <w:spacing w:val="0"/>
          <w:kern w:val="0"/>
          <w:sz w:val="21"/>
          <w:szCs w:val="21"/>
          <w:lang w:val="en-US" w:eastAsia="zh-CN" w:bidi="ar"/>
        </w:rPr>
        <w:t> 5小时以上</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4</w:t>
      </w:r>
      <w:r>
        <w:rPr>
          <w:rFonts w:hint="default" w:ascii="Segoe UI" w:hAnsi="Segoe UI" w:eastAsia="Segoe UI" w:cs="Segoe UI"/>
          <w:b w:val="0"/>
          <w:i w:val="0"/>
          <w:caps w:val="0"/>
          <w:color w:val="auto"/>
          <w:spacing w:val="0"/>
          <w:kern w:val="0"/>
          <w:sz w:val="24"/>
          <w:szCs w:val="24"/>
          <w:lang w:val="en-US" w:eastAsia="zh-CN" w:bidi="ar"/>
        </w:rPr>
        <w:t>：大多数情况下，上课不专心是因为（多选）</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0"/>
        <w:jc w:val="left"/>
        <w:textAlignment w:val="auto"/>
        <w:rPr>
          <w:rFonts w:hint="default" w:ascii="Segoe UI" w:hAnsi="Segoe UI" w:eastAsia="Segoe UI" w:cs="Segoe UI"/>
          <w:b w:val="0"/>
          <w:i w:val="0"/>
          <w:caps w:val="0"/>
          <w:color w:val="auto"/>
          <w:spacing w:val="0"/>
          <w:sz w:val="21"/>
          <w:szCs w:val="21"/>
        </w:rPr>
      </w:pP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A</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对课程不感兴趣</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B</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有学习任务急需完成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rFonts w:hint="default" w:ascii="Segoe UI" w:hAnsi="Segoe UI" w:eastAsia="Segoe UI" w:cs="Segoe UI"/>
          <w:b w:val="0"/>
          <w:i w:val="0"/>
          <w:caps w:val="0"/>
          <w:color w:val="auto"/>
          <w:spacing w:val="0"/>
          <w:sz w:val="21"/>
          <w:szCs w:val="21"/>
        </w:rPr>
      </w:pPr>
      <w:r>
        <w:rPr>
          <w:rFonts w:hint="default" w:ascii="Segoe UI" w:hAnsi="Segoe UI" w:eastAsia="Segoe UI" w:cs="Segoe UI"/>
          <w:b w:val="0"/>
          <w:i w:val="0"/>
          <w:caps w:val="0"/>
          <w:color w:val="auto"/>
          <w:spacing w:val="0"/>
          <w:kern w:val="0"/>
          <w:sz w:val="21"/>
          <w:szCs w:val="21"/>
          <w:lang w:val="en-US" w:eastAsia="zh-CN" w:bidi="ar"/>
        </w:rPr>
        <w:t> C</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觉得课程内容没用</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D</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我喜欢一个人自学</w:t>
      </w:r>
      <w:r>
        <w:rPr>
          <w:rFonts w:hint="eastAsia" w:ascii="Segoe UI" w:hAnsi="Segoe UI" w:eastAsia="Segoe UI" w:cs="Segoe UI"/>
          <w:b w:val="0"/>
          <w:i w:val="0"/>
          <w:caps w:val="0"/>
          <w:color w:val="auto"/>
          <w:spacing w:val="0"/>
          <w:kern w:val="0"/>
          <w:sz w:val="21"/>
          <w:szCs w:val="21"/>
          <w:lang w:val="en-US" w:eastAsia="zh-CN" w:bidi="ar"/>
        </w:rPr>
        <w:t xml:space="preserve">           E.</w:t>
      </w:r>
      <w:r>
        <w:rPr>
          <w:rFonts w:hint="default" w:ascii="Segoe UI" w:hAnsi="Segoe UI" w:eastAsia="Segoe UI" w:cs="Segoe UI"/>
          <w:b w:val="0"/>
          <w:i w:val="0"/>
          <w:caps w:val="0"/>
          <w:color w:val="auto"/>
          <w:spacing w:val="0"/>
          <w:kern w:val="0"/>
          <w:sz w:val="21"/>
          <w:szCs w:val="21"/>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0"/>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5</w:t>
      </w:r>
      <w:r>
        <w:rPr>
          <w:rFonts w:hint="default" w:ascii="Segoe UI" w:hAnsi="Segoe UI" w:eastAsia="Segoe UI" w:cs="Segoe UI"/>
          <w:b w:val="0"/>
          <w:i w:val="0"/>
          <w:caps w:val="0"/>
          <w:color w:val="auto"/>
          <w:spacing w:val="0"/>
          <w:kern w:val="0"/>
          <w:sz w:val="24"/>
          <w:szCs w:val="24"/>
          <w:lang w:val="en-US" w:eastAsia="zh-CN" w:bidi="ar"/>
        </w:rPr>
        <w:t>：最大的学习动力来源于（</w:t>
      </w:r>
      <w:r>
        <w:rPr>
          <w:rFonts w:hint="eastAsia" w:ascii="Segoe UI" w:hAnsi="Segoe UI" w:eastAsia="Segoe UI" w:cs="Segoe UI"/>
          <w:b w:val="0"/>
          <w:i w:val="0"/>
          <w:caps w:val="0"/>
          <w:color w:val="auto"/>
          <w:spacing w:val="0"/>
          <w:kern w:val="0"/>
          <w:sz w:val="24"/>
          <w:szCs w:val="24"/>
          <w:lang w:val="en-US" w:eastAsia="zh-CN" w:bidi="ar"/>
        </w:rPr>
        <w:t>可</w:t>
      </w:r>
      <w:r>
        <w:rPr>
          <w:rFonts w:hint="default" w:ascii="Segoe UI" w:hAnsi="Segoe UI" w:eastAsia="Segoe UI" w:cs="Segoe UI"/>
          <w:b w:val="0"/>
          <w:i w:val="0"/>
          <w:caps w:val="0"/>
          <w:color w:val="auto"/>
          <w:spacing w:val="0"/>
          <w:kern w:val="0"/>
          <w:sz w:val="24"/>
          <w:szCs w:val="24"/>
          <w:lang w:val="en-US" w:eastAsia="zh-CN" w:bidi="ar"/>
        </w:rPr>
        <w:t>多选）</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leftChars="0" w:right="0" w:rightChars="0" w:firstLine="420" w:firstLineChars="200"/>
        <w:jc w:val="left"/>
        <w:textAlignment w:val="auto"/>
        <w:rPr>
          <w:rFonts w:hint="default"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A.</w:t>
      </w:r>
      <w:r>
        <w:rPr>
          <w:rFonts w:hint="default" w:ascii="Segoe UI" w:hAnsi="Segoe UI" w:eastAsia="Segoe UI" w:cs="Segoe UI"/>
          <w:b w:val="0"/>
          <w:i w:val="0"/>
          <w:caps w:val="0"/>
          <w:color w:val="auto"/>
          <w:spacing w:val="0"/>
          <w:kern w:val="0"/>
          <w:sz w:val="21"/>
          <w:szCs w:val="21"/>
          <w:lang w:val="en-US" w:eastAsia="zh-CN" w:bidi="ar"/>
        </w:rPr>
        <w:t>学到更多有用的知识，增强自己的能力，完善自我</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leftChars="0" w:right="0" w:rightChars="0" w:firstLine="420" w:firstLineChars="200"/>
        <w:jc w:val="left"/>
        <w:textAlignment w:val="auto"/>
        <w:rPr>
          <w:rFonts w:hint="default" w:ascii="Segoe UI" w:hAnsi="Segoe UI" w:eastAsia="Segoe UI" w:cs="Segoe UI"/>
          <w:b w:val="0"/>
          <w:i w:val="0"/>
          <w:caps w:val="0"/>
          <w:color w:val="auto"/>
          <w:spacing w:val="0"/>
          <w:sz w:val="21"/>
          <w:szCs w:val="21"/>
        </w:rPr>
      </w:pPr>
      <w:r>
        <w:rPr>
          <w:rFonts w:hint="default" w:ascii="Segoe UI" w:hAnsi="Segoe UI" w:eastAsia="Segoe UI" w:cs="Segoe UI"/>
          <w:b w:val="0"/>
          <w:i w:val="0"/>
          <w:caps w:val="0"/>
          <w:color w:val="auto"/>
          <w:spacing w:val="0"/>
          <w:kern w:val="0"/>
          <w:sz w:val="21"/>
          <w:szCs w:val="21"/>
          <w:lang w:val="en-US" w:eastAsia="zh-CN" w:bidi="ar"/>
        </w:rPr>
        <w:t>B</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他人（家人、朋友、老师）的期望和鼓励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rFonts w:hint="default" w:ascii="Segoe UI" w:hAnsi="Segoe UI" w:eastAsia="Segoe UI" w:cs="Segoe UI"/>
          <w:b w:val="0"/>
          <w:i w:val="0"/>
          <w:caps w:val="0"/>
          <w:color w:val="auto"/>
          <w:spacing w:val="0"/>
          <w:sz w:val="21"/>
          <w:szCs w:val="21"/>
        </w:rPr>
      </w:pPr>
      <w:r>
        <w:rPr>
          <w:rFonts w:hint="default" w:ascii="Segoe UI" w:hAnsi="Segoe UI" w:eastAsia="Segoe UI" w:cs="Segoe UI"/>
          <w:b w:val="0"/>
          <w:i w:val="0"/>
          <w:caps w:val="0"/>
          <w:color w:val="auto"/>
          <w:spacing w:val="0"/>
          <w:kern w:val="0"/>
          <w:sz w:val="21"/>
          <w:szCs w:val="21"/>
          <w:lang w:val="en-US" w:eastAsia="zh-CN" w:bidi="ar"/>
        </w:rPr>
        <w:t> C</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以后有好的前途，找到好工作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rFonts w:hint="default" w:ascii="Segoe UI" w:hAnsi="Segoe UI" w:eastAsia="Segoe UI" w:cs="Segoe UI"/>
          <w:b w:val="0"/>
          <w:i w:val="0"/>
          <w:caps w:val="0"/>
          <w:color w:val="auto"/>
          <w:spacing w:val="0"/>
          <w:sz w:val="21"/>
          <w:szCs w:val="21"/>
        </w:rPr>
      </w:pPr>
      <w:r>
        <w:rPr>
          <w:rFonts w:hint="eastAsia" w:ascii="Segoe UI" w:hAnsi="Segoe UI" w:eastAsia="Segoe UI" w:cs="Segoe UI"/>
          <w:b w:val="0"/>
          <w:i w:val="0"/>
          <w:caps w:val="0"/>
          <w:color w:val="auto"/>
          <w:spacing w:val="0"/>
          <w:kern w:val="0"/>
          <w:sz w:val="21"/>
          <w:szCs w:val="21"/>
          <w:lang w:val="en-US" w:eastAsia="zh-CN" w:bidi="ar"/>
        </w:rPr>
        <w:t>D.</w:t>
      </w:r>
      <w:r>
        <w:rPr>
          <w:rFonts w:hint="default" w:ascii="Segoe UI" w:hAnsi="Segoe UI" w:eastAsia="Segoe UI" w:cs="Segoe UI"/>
          <w:b w:val="0"/>
          <w:i w:val="0"/>
          <w:caps w:val="0"/>
          <w:color w:val="auto"/>
          <w:spacing w:val="0"/>
          <w:kern w:val="0"/>
          <w:sz w:val="21"/>
          <w:szCs w:val="21"/>
          <w:lang w:val="en-US" w:eastAsia="zh-CN" w:bidi="ar"/>
        </w:rPr>
        <w:t>其他</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6</w:t>
      </w:r>
      <w:r>
        <w:rPr>
          <w:rFonts w:hint="default" w:ascii="Segoe UI" w:hAnsi="Segoe UI" w:eastAsia="Segoe UI" w:cs="Segoe UI"/>
          <w:b w:val="0"/>
          <w:i w:val="0"/>
          <w:caps w:val="0"/>
          <w:color w:val="auto"/>
          <w:spacing w:val="0"/>
          <w:kern w:val="0"/>
          <w:sz w:val="24"/>
          <w:szCs w:val="24"/>
          <w:lang w:val="en-US" w:eastAsia="zh-CN" w:bidi="ar"/>
        </w:rPr>
        <w:t>：你觉得你个人的学习主动性如何？</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0"/>
        <w:jc w:val="left"/>
        <w:textAlignment w:val="auto"/>
        <w:rPr>
          <w:rFonts w:hint="default" w:ascii="Segoe UI" w:hAnsi="Segoe UI" w:eastAsia="Segoe UI" w:cs="Segoe UI"/>
          <w:b w:val="0"/>
          <w:i w:val="0"/>
          <w:caps w:val="0"/>
          <w:color w:val="auto"/>
          <w:spacing w:val="0"/>
          <w:sz w:val="21"/>
          <w:szCs w:val="21"/>
        </w:rPr>
      </w:pP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A</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主动完成学习任务</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B</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能够完成学习任务</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C</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不得不完成学习任务 </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D</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完不成任务</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7</w:t>
      </w:r>
      <w:r>
        <w:rPr>
          <w:rFonts w:hint="default" w:ascii="Segoe UI" w:hAnsi="Segoe UI" w:eastAsia="Segoe UI" w:cs="Segoe UI"/>
          <w:b w:val="0"/>
          <w:i w:val="0"/>
          <w:caps w:val="0"/>
          <w:color w:val="auto"/>
          <w:spacing w:val="0"/>
          <w:kern w:val="0"/>
          <w:sz w:val="24"/>
          <w:szCs w:val="24"/>
          <w:lang w:val="en-US" w:eastAsia="zh-CN" w:bidi="ar"/>
        </w:rPr>
        <w:t>：能够在课堂上及时掌握老师所讲的内容</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0"/>
        <w:jc w:val="left"/>
        <w:textAlignment w:val="auto"/>
        <w:rPr>
          <w:rFonts w:hint="default" w:ascii="Segoe UI" w:hAnsi="Segoe UI" w:eastAsia="Segoe UI" w:cs="Segoe UI"/>
          <w:b w:val="0"/>
          <w:i w:val="0"/>
          <w:caps w:val="0"/>
          <w:color w:val="auto"/>
          <w:spacing w:val="0"/>
          <w:sz w:val="21"/>
          <w:szCs w:val="21"/>
        </w:rPr>
      </w:pP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A</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是的</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B</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一点听不懂</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C</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简单的懂</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8</w:t>
      </w:r>
      <w:r>
        <w:rPr>
          <w:rFonts w:hint="default" w:ascii="Segoe UI" w:hAnsi="Segoe UI" w:eastAsia="Segoe UI" w:cs="Segoe UI"/>
          <w:b w:val="0"/>
          <w:i w:val="0"/>
          <w:caps w:val="0"/>
          <w:color w:val="auto"/>
          <w:spacing w:val="0"/>
          <w:kern w:val="0"/>
          <w:sz w:val="24"/>
          <w:szCs w:val="24"/>
          <w:lang w:val="en-US" w:eastAsia="zh-CN" w:bidi="ar"/>
        </w:rPr>
        <w:t>：您觉得学校哪反面还有缺陷？（多选题）</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rFonts w:hint="default" w:ascii="Segoe UI" w:hAnsi="Segoe UI" w:eastAsia="Segoe UI" w:cs="Segoe UI"/>
          <w:b w:val="0"/>
          <w:i w:val="0"/>
          <w:caps w:val="0"/>
          <w:color w:val="auto"/>
          <w:spacing w:val="0"/>
          <w:sz w:val="21"/>
          <w:szCs w:val="21"/>
        </w:rPr>
      </w:pPr>
      <w:r>
        <w:rPr>
          <w:rFonts w:hint="default" w:ascii="Segoe UI" w:hAnsi="Segoe UI" w:eastAsia="Segoe UI" w:cs="Segoe UI"/>
          <w:b w:val="0"/>
          <w:i w:val="0"/>
          <w:caps w:val="0"/>
          <w:color w:val="auto"/>
          <w:spacing w:val="0"/>
          <w:kern w:val="0"/>
          <w:sz w:val="21"/>
          <w:szCs w:val="21"/>
          <w:lang w:val="en-US" w:eastAsia="zh-CN" w:bidi="ar"/>
        </w:rPr>
        <w:t> A</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图书资源太少</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B</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网络学习资源不够完善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rFonts w:hint="default" w:ascii="Segoe UI" w:hAnsi="Segoe UI" w:eastAsia="Segoe UI" w:cs="Segoe UI"/>
          <w:b w:val="0"/>
          <w:i w:val="0"/>
          <w:caps w:val="0"/>
          <w:color w:val="auto"/>
          <w:spacing w:val="0"/>
          <w:sz w:val="21"/>
          <w:szCs w:val="21"/>
        </w:rPr>
      </w:pPr>
      <w:r>
        <w:rPr>
          <w:rFonts w:hint="default" w:ascii="Segoe UI" w:hAnsi="Segoe UI" w:eastAsia="Segoe UI" w:cs="Segoe UI"/>
          <w:b w:val="0"/>
          <w:i w:val="0"/>
          <w:caps w:val="0"/>
          <w:color w:val="auto"/>
          <w:spacing w:val="0"/>
          <w:kern w:val="0"/>
          <w:sz w:val="21"/>
          <w:szCs w:val="21"/>
          <w:lang w:val="en-US" w:eastAsia="zh-CN" w:bidi="ar"/>
        </w:rPr>
        <w:t> C</w:t>
      </w:r>
      <w:r>
        <w:rPr>
          <w:rFonts w:hint="eastAsia" w:ascii="Segoe UI" w:hAnsi="Segoe UI" w:eastAsia="Segoe UI" w:cs="Segoe UI"/>
          <w:b w:val="0"/>
          <w:i w:val="0"/>
          <w:caps w:val="0"/>
          <w:color w:val="auto"/>
          <w:spacing w:val="0"/>
          <w:kern w:val="0"/>
          <w:sz w:val="21"/>
          <w:szCs w:val="21"/>
          <w:lang w:val="en-US" w:eastAsia="zh-CN" w:bidi="ar"/>
        </w:rPr>
        <w:t>.面授</w:t>
      </w:r>
      <w:r>
        <w:rPr>
          <w:rFonts w:hint="default" w:ascii="Segoe UI" w:hAnsi="Segoe UI" w:eastAsia="Segoe UI" w:cs="Segoe UI"/>
          <w:b w:val="0"/>
          <w:i w:val="0"/>
          <w:caps w:val="0"/>
          <w:color w:val="auto"/>
          <w:spacing w:val="0"/>
          <w:kern w:val="0"/>
          <w:sz w:val="21"/>
          <w:szCs w:val="21"/>
          <w:lang w:val="en-US" w:eastAsia="zh-CN" w:bidi="ar"/>
        </w:rPr>
        <w:t>时间短</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D</w:t>
      </w:r>
      <w:r>
        <w:rPr>
          <w:rFonts w:hint="eastAsia" w:ascii="Segoe UI" w:hAnsi="Segoe UI" w:eastAsia="Segoe UI" w:cs="Segoe UI"/>
          <w:b w:val="0"/>
          <w:i w:val="0"/>
          <w:caps w:val="0"/>
          <w:color w:val="auto"/>
          <w:spacing w:val="0"/>
          <w:kern w:val="0"/>
          <w:sz w:val="21"/>
          <w:szCs w:val="21"/>
          <w:lang w:val="en-US" w:eastAsia="zh-CN" w:bidi="ar"/>
        </w:rPr>
        <w:t>.网络课程</w:t>
      </w:r>
      <w:r>
        <w:rPr>
          <w:rFonts w:hint="default" w:ascii="Segoe UI" w:hAnsi="Segoe UI" w:eastAsia="Segoe UI" w:cs="Segoe UI"/>
          <w:b w:val="0"/>
          <w:i w:val="0"/>
          <w:caps w:val="0"/>
          <w:color w:val="auto"/>
          <w:spacing w:val="0"/>
          <w:kern w:val="0"/>
          <w:sz w:val="21"/>
          <w:szCs w:val="21"/>
          <w:lang w:val="en-US" w:eastAsia="zh-CN" w:bidi="ar"/>
        </w:rPr>
        <w:t>太多，没有自主学习和活动的时间</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E</w:t>
      </w:r>
      <w:r>
        <w:rPr>
          <w:rFonts w:hint="eastAsia" w:ascii="Segoe UI" w:hAnsi="Segoe UI" w:eastAsia="Segoe UI" w:cs="Segoe UI"/>
          <w:b w:val="0"/>
          <w:i w:val="0"/>
          <w:caps w:val="0"/>
          <w:color w:val="auto"/>
          <w:spacing w:val="0"/>
          <w:kern w:val="0"/>
          <w:sz w:val="21"/>
          <w:szCs w:val="21"/>
          <w:lang w:val="en-US" w:eastAsia="zh-CN" w:bidi="ar"/>
        </w:rPr>
        <w:t>.</w:t>
      </w:r>
      <w:r>
        <w:rPr>
          <w:rFonts w:hint="default" w:ascii="Segoe UI" w:hAnsi="Segoe UI" w:eastAsia="Segoe UI" w:cs="Segoe UI"/>
          <w:b w:val="0"/>
          <w:i w:val="0"/>
          <w:caps w:val="0"/>
          <w:color w:val="auto"/>
          <w:spacing w:val="0"/>
          <w:kern w:val="0"/>
          <w:sz w:val="21"/>
          <w:szCs w:val="21"/>
          <w:lang w:val="en-US" w:eastAsia="zh-CN" w:bidi="ar"/>
        </w:rPr>
        <w:t>其他</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w:t>
      </w:r>
      <w:r>
        <w:rPr>
          <w:rFonts w:hint="eastAsia" w:ascii="Segoe UI" w:hAnsi="Segoe UI" w:eastAsia="Segoe UI" w:cs="Segoe UI"/>
          <w:b w:val="0"/>
          <w:i w:val="0"/>
          <w:caps w:val="0"/>
          <w:color w:val="auto"/>
          <w:spacing w:val="0"/>
          <w:kern w:val="0"/>
          <w:sz w:val="24"/>
          <w:szCs w:val="24"/>
          <w:lang w:val="en-US" w:eastAsia="zh-CN" w:bidi="ar"/>
        </w:rPr>
        <w:t>9</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你向往的教学模式是</w:t>
      </w:r>
      <w:r>
        <w:rPr>
          <w:rFonts w:hint="default" w:ascii="Segoe UI" w:hAnsi="Segoe UI" w:eastAsia="Segoe UI" w:cs="Segoe UI"/>
          <w:b w:val="0"/>
          <w:i w:val="0"/>
          <w:caps w:val="0"/>
          <w:color w:val="auto"/>
          <w:spacing w:val="0"/>
          <w:kern w:val="0"/>
          <w:sz w:val="24"/>
          <w:szCs w:val="24"/>
          <w:lang w:val="en-US" w:eastAsia="zh-CN" w:bidi="ar"/>
        </w:rPr>
        <w:t>？</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0"/>
        <w:jc w:val="left"/>
        <w:textAlignment w:val="auto"/>
        <w:rPr>
          <w:rFonts w:hint="eastAsia" w:ascii="Segoe UI" w:hAnsi="Segoe UI" w:eastAsia="Segoe UI" w:cs="Segoe UI"/>
          <w:b w:val="0"/>
          <w:i w:val="0"/>
          <w:caps w:val="0"/>
          <w:color w:val="auto"/>
          <w:spacing w:val="0"/>
          <w:kern w:val="0"/>
          <w:sz w:val="21"/>
          <w:szCs w:val="21"/>
          <w:lang w:val="en-US" w:eastAsia="zh-CN" w:bidi="ar"/>
        </w:rPr>
      </w:pPr>
      <w:r>
        <w:rPr>
          <w:rFonts w:hint="eastAsia" w:ascii="Segoe UI" w:hAnsi="Segoe UI" w:eastAsia="Segoe UI" w:cs="Segoe UI"/>
          <w:b w:val="0"/>
          <w:i w:val="0"/>
          <w:caps w:val="0"/>
          <w:color w:val="auto"/>
          <w:spacing w:val="0"/>
          <w:kern w:val="0"/>
          <w:sz w:val="21"/>
          <w:szCs w:val="21"/>
          <w:lang w:val="en-US" w:eastAsia="zh-CN" w:bidi="ar"/>
        </w:rPr>
        <w:t>A. 翻转课堂   B.线上线下混合教学  C.送教上门教学模式  D.节假日集中教学模式</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Segoe UI" w:hAnsi="Segoe UI" w:eastAsia="Segoe UI" w:cs="Segoe UI"/>
          <w:b w:val="0"/>
          <w:i w:val="0"/>
          <w:caps w:val="0"/>
          <w:color w:val="auto"/>
          <w:spacing w:val="0"/>
          <w:sz w:val="24"/>
          <w:szCs w:val="24"/>
        </w:rPr>
      </w:pPr>
      <w:r>
        <w:rPr>
          <w:rFonts w:hint="default" w:ascii="Segoe UI" w:hAnsi="Segoe UI" w:eastAsia="Segoe UI" w:cs="Segoe UI"/>
          <w:b w:val="0"/>
          <w:i w:val="0"/>
          <w:caps w:val="0"/>
          <w:color w:val="auto"/>
          <w:spacing w:val="0"/>
          <w:kern w:val="0"/>
          <w:sz w:val="24"/>
          <w:szCs w:val="24"/>
          <w:lang w:val="en-US" w:eastAsia="zh-CN" w:bidi="ar"/>
        </w:rPr>
        <w:t>Q1</w:t>
      </w:r>
      <w:r>
        <w:rPr>
          <w:rFonts w:hint="eastAsia" w:ascii="Segoe UI" w:hAnsi="Segoe UI" w:eastAsia="Segoe UI" w:cs="Segoe UI"/>
          <w:b w:val="0"/>
          <w:i w:val="0"/>
          <w:caps w:val="0"/>
          <w:color w:val="auto"/>
          <w:spacing w:val="0"/>
          <w:kern w:val="0"/>
          <w:sz w:val="24"/>
          <w:szCs w:val="24"/>
          <w:lang w:val="en-US" w:eastAsia="zh-CN" w:bidi="ar"/>
        </w:rPr>
        <w:t>0</w:t>
      </w:r>
      <w:r>
        <w:rPr>
          <w:rFonts w:hint="default" w:ascii="Segoe UI" w:hAnsi="Segoe UI" w:eastAsia="Segoe UI" w:cs="Segoe UI"/>
          <w:b w:val="0"/>
          <w:i w:val="0"/>
          <w:caps w:val="0"/>
          <w:color w:val="auto"/>
          <w:spacing w:val="0"/>
          <w:kern w:val="0"/>
          <w:sz w:val="24"/>
          <w:szCs w:val="24"/>
          <w:lang w:val="en-US" w:eastAsia="zh-CN" w:bidi="ar"/>
        </w:rPr>
        <w:t>：未来</w:t>
      </w:r>
      <w:r>
        <w:rPr>
          <w:rFonts w:hint="eastAsia" w:ascii="Segoe UI" w:hAnsi="Segoe UI" w:eastAsia="Segoe UI" w:cs="Segoe UI"/>
          <w:b w:val="0"/>
          <w:i w:val="0"/>
          <w:caps w:val="0"/>
          <w:color w:val="auto"/>
          <w:spacing w:val="0"/>
          <w:kern w:val="0"/>
          <w:sz w:val="24"/>
          <w:szCs w:val="24"/>
          <w:lang w:val="en-US" w:eastAsia="zh-CN" w:bidi="ar"/>
        </w:rPr>
        <w:t>三</w:t>
      </w:r>
      <w:r>
        <w:rPr>
          <w:rFonts w:hint="default" w:ascii="Segoe UI" w:hAnsi="Segoe UI" w:eastAsia="Segoe UI" w:cs="Segoe UI"/>
          <w:b w:val="0"/>
          <w:i w:val="0"/>
          <w:caps w:val="0"/>
          <w:color w:val="auto"/>
          <w:spacing w:val="0"/>
          <w:kern w:val="0"/>
          <w:sz w:val="24"/>
          <w:szCs w:val="24"/>
          <w:lang w:val="en-US" w:eastAsia="zh-CN" w:bidi="ar"/>
        </w:rPr>
        <w:t>年你最大的愿望是什么？（多选题）</w:t>
      </w:r>
      <w:r>
        <w:rPr>
          <w:rFonts w:hint="eastAsia" w:ascii="Segoe UI" w:hAnsi="Segoe UI" w:eastAsia="Segoe UI" w:cs="Segoe UI"/>
          <w:b w:val="0"/>
          <w:i w:val="0"/>
          <w:caps w:val="0"/>
          <w:color w:val="auto"/>
          <w:spacing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0"/>
        <w:jc w:val="left"/>
        <w:textAlignment w:val="auto"/>
        <w:rPr>
          <w:rFonts w:hint="default" w:ascii="Segoe UI" w:hAnsi="Segoe UI" w:eastAsia="Segoe UI" w:cs="Segoe UI"/>
          <w:b w:val="0"/>
          <w:i w:val="0"/>
          <w:caps w:val="0"/>
          <w:color w:val="auto"/>
          <w:spacing w:val="0"/>
          <w:sz w:val="21"/>
          <w:szCs w:val="21"/>
        </w:rPr>
      </w:pPr>
      <w:r>
        <w:rPr>
          <w:rFonts w:hint="default" w:ascii="Segoe UI" w:hAnsi="Segoe UI" w:eastAsia="Segoe UI" w:cs="Segoe UI"/>
          <w:b w:val="0"/>
          <w:i w:val="0"/>
          <w:caps w:val="0"/>
          <w:color w:val="auto"/>
          <w:spacing w:val="0"/>
          <w:kern w:val="0"/>
          <w:sz w:val="21"/>
          <w:szCs w:val="21"/>
          <w:lang w:val="en-US" w:eastAsia="zh-CN" w:bidi="ar"/>
        </w:rPr>
        <w:t> </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A、事业成功</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 B、生活快乐</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C、赚大钱</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D、有理想的伴侣</w:t>
      </w:r>
      <w:r>
        <w:rPr>
          <w:rFonts w:hint="eastAsia" w:ascii="Segoe UI" w:hAnsi="Segoe UI" w:eastAsia="Segoe UI" w:cs="Segoe UI"/>
          <w:b w:val="0"/>
          <w:i w:val="0"/>
          <w:caps w:val="0"/>
          <w:color w:val="auto"/>
          <w:spacing w:val="0"/>
          <w:kern w:val="0"/>
          <w:sz w:val="21"/>
          <w:szCs w:val="21"/>
          <w:lang w:val="en-US" w:eastAsia="zh-CN" w:bidi="ar"/>
        </w:rPr>
        <w:t xml:space="preserve">   </w:t>
      </w:r>
      <w:r>
        <w:rPr>
          <w:rFonts w:hint="default" w:ascii="Segoe UI" w:hAnsi="Segoe UI" w:eastAsia="Segoe UI" w:cs="Segoe UI"/>
          <w:b w:val="0"/>
          <w:i w:val="0"/>
          <w:caps w:val="0"/>
          <w:color w:val="auto"/>
          <w:spacing w:val="0"/>
          <w:kern w:val="0"/>
          <w:sz w:val="21"/>
          <w:szCs w:val="21"/>
          <w:lang w:val="en-US" w:eastAsia="zh-CN" w:bidi="ar"/>
        </w:rPr>
        <w:t>E、其他</w:t>
      </w:r>
    </w:p>
    <w:p>
      <w:pPr>
        <w:keepNext w:val="0"/>
        <w:keepLines w:val="0"/>
        <w:pageBreakBefore w:val="0"/>
        <w:kinsoku/>
        <w:wordWrap/>
        <w:overflowPunct/>
        <w:topLinePunct w:val="0"/>
        <w:autoSpaceDE/>
        <w:autoSpaceDN/>
        <w:bidi w:val="0"/>
        <w:adjustRightInd/>
        <w:snapToGrid/>
        <w:spacing w:line="360" w:lineRule="auto"/>
        <w:ind w:left="0"/>
        <w:textAlignment w:val="auto"/>
        <w:rPr>
          <w:color w:val="auto"/>
        </w:rPr>
      </w:pPr>
    </w:p>
    <w:p>
      <w:pPr>
        <w:keepNext w:val="0"/>
        <w:keepLines w:val="0"/>
        <w:pageBreakBefore w:val="0"/>
        <w:kinsoku/>
        <w:wordWrap/>
        <w:overflowPunct/>
        <w:topLinePunct w:val="0"/>
        <w:autoSpaceDE/>
        <w:autoSpaceDN/>
        <w:bidi w:val="0"/>
        <w:adjustRightInd/>
        <w:snapToGrid/>
        <w:spacing w:line="360" w:lineRule="auto"/>
        <w:ind w:left="0"/>
        <w:textAlignment w:val="auto"/>
        <w:rPr>
          <w:color w:val="auto"/>
        </w:rPr>
      </w:pPr>
      <w:r>
        <w:rPr>
          <w:rFonts w:hint="eastAsia"/>
          <w:color w:val="auto"/>
          <w:lang w:val="en-US" w:eastAsia="zh-CN"/>
        </w:rPr>
        <w:t xml:space="preserve">                                                      年    月     日 </w:t>
      </w:r>
    </w:p>
    <w:p>
      <w:pPr>
        <w:spacing w:line="360" w:lineRule="auto"/>
        <w:rPr>
          <w:rFonts w:hint="eastAsia" w:asciiTheme="minorEastAsia" w:hAnsiTheme="minorEastAsia" w:eastAsiaTheme="minorEastAsia"/>
          <w:color w:val="000000" w:themeColor="text1"/>
          <w:szCs w:val="21"/>
        </w:rPr>
      </w:pPr>
    </w:p>
    <w:p>
      <w:pPr>
        <w:rPr>
          <w:rFonts w:asciiTheme="minorEastAsia" w:hAnsiTheme="minorEastAsia" w:eastAsiaTheme="minorEastAsia"/>
          <w:b/>
          <w:color w:val="000000" w:themeColor="text1"/>
          <w:szCs w:val="21"/>
        </w:rPr>
      </w:pPr>
      <w:r>
        <w:drawing>
          <wp:inline distT="0" distB="0" distL="114300" distR="114300">
            <wp:extent cx="5266690" cy="2962910"/>
            <wp:effectExtent l="0" t="0" r="10160" b="889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9"/>
                    <a:stretch>
                      <a:fillRect/>
                    </a:stretch>
                  </pic:blipFill>
                  <pic:spPr>
                    <a:xfrm>
                      <a:off x="0" y="0"/>
                      <a:ext cx="5266690" cy="2962910"/>
                    </a:xfrm>
                    <a:prstGeom prst="rect">
                      <a:avLst/>
                    </a:prstGeom>
                    <a:noFill/>
                    <a:ln>
                      <a:noFill/>
                    </a:ln>
                  </pic:spPr>
                </pic:pic>
              </a:graphicData>
            </a:graphic>
          </wp:inline>
        </w:drawing>
      </w:r>
    </w:p>
    <w:p>
      <w:pPr>
        <w:widowControl/>
        <w:spacing w:line="469" w:lineRule="atLeast"/>
        <w:jc w:val="left"/>
        <w:rPr>
          <w:rFonts w:hint="eastAsia" w:ascii="Tahoma" w:hAnsi="Tahoma" w:cs="Tahoma"/>
          <w:b/>
          <w:bCs/>
          <w:color w:val="000000"/>
          <w:kern w:val="0"/>
          <w:sz w:val="21"/>
          <w:szCs w:val="21"/>
          <w:lang w:eastAsia="zh-CN"/>
        </w:rPr>
      </w:pPr>
      <w:r>
        <w:rPr>
          <w:rFonts w:hint="eastAsia" w:ascii="Tahoma" w:hAnsi="Tahoma" w:cs="Tahoma"/>
          <w:b/>
          <w:bCs/>
          <w:color w:val="000000"/>
          <w:kern w:val="0"/>
          <w:sz w:val="21"/>
          <w:szCs w:val="21"/>
          <w:lang w:eastAsia="zh-CN"/>
        </w:rPr>
        <w:br w:type="page"/>
      </w:r>
    </w:p>
    <w:p>
      <w:pPr>
        <w:widowControl/>
        <w:spacing w:line="469" w:lineRule="atLeast"/>
        <w:jc w:val="left"/>
        <w:rPr>
          <w:rFonts w:hint="default" w:ascii="Tahoma" w:hAnsi="Tahoma" w:eastAsia="宋体" w:cs="Tahoma"/>
          <w:b/>
          <w:bCs/>
          <w:color w:val="000000"/>
          <w:kern w:val="0"/>
          <w:sz w:val="21"/>
          <w:szCs w:val="21"/>
          <w:lang w:val="en-US" w:eastAsia="zh-CN"/>
        </w:rPr>
      </w:pPr>
      <w:r>
        <w:rPr>
          <w:rFonts w:hint="eastAsia" w:ascii="Tahoma" w:hAnsi="Tahoma" w:cs="Tahoma"/>
          <w:b/>
          <w:bCs/>
          <w:color w:val="000000"/>
          <w:kern w:val="0"/>
          <w:sz w:val="21"/>
          <w:szCs w:val="21"/>
          <w:lang w:eastAsia="zh-CN"/>
        </w:rPr>
        <w:t>附件</w:t>
      </w:r>
      <w:r>
        <w:rPr>
          <w:rFonts w:hint="eastAsia" w:ascii="Tahoma" w:hAnsi="Tahoma" w:cs="Tahoma"/>
          <w:b/>
          <w:bCs/>
          <w:color w:val="000000"/>
          <w:kern w:val="0"/>
          <w:sz w:val="21"/>
          <w:szCs w:val="21"/>
          <w:lang w:val="en-US" w:eastAsia="zh-CN"/>
        </w:rPr>
        <w:t>2:</w:t>
      </w:r>
    </w:p>
    <w:p>
      <w:pPr>
        <w:widowControl/>
        <w:spacing w:line="469" w:lineRule="atLeast"/>
        <w:jc w:val="center"/>
        <w:rPr>
          <w:rFonts w:ascii="Tahoma" w:hAnsi="Tahoma" w:eastAsia="宋体" w:cs="Tahoma"/>
          <w:b/>
          <w:bCs/>
          <w:color w:val="000000"/>
          <w:kern w:val="0"/>
          <w:sz w:val="32"/>
          <w:szCs w:val="32"/>
        </w:rPr>
      </w:pPr>
      <w:r>
        <w:rPr>
          <w:rFonts w:hint="eastAsia" w:ascii="Tahoma" w:hAnsi="Tahoma" w:eastAsia="宋体" w:cs="Tahoma"/>
          <w:b/>
          <w:bCs/>
          <w:color w:val="000000"/>
          <w:kern w:val="0"/>
          <w:sz w:val="32"/>
          <w:szCs w:val="32"/>
        </w:rPr>
        <w:t>山西管理职业学院金融管理专业</w:t>
      </w:r>
    </w:p>
    <w:p>
      <w:pPr>
        <w:widowControl/>
        <w:spacing w:line="469" w:lineRule="atLeast"/>
        <w:jc w:val="center"/>
        <w:rPr>
          <w:rFonts w:ascii="Tahoma" w:hAnsi="Tahoma" w:eastAsia="宋体" w:cs="Tahoma"/>
          <w:b/>
          <w:bCs/>
          <w:color w:val="000000"/>
          <w:kern w:val="0"/>
          <w:sz w:val="32"/>
          <w:szCs w:val="32"/>
        </w:rPr>
      </w:pPr>
      <w:r>
        <w:rPr>
          <w:rFonts w:hint="eastAsia" w:ascii="Tahoma" w:hAnsi="Tahoma" w:eastAsia="宋体" w:cs="Tahoma"/>
          <w:b/>
          <w:bCs/>
          <w:color w:val="000000"/>
          <w:kern w:val="0"/>
          <w:sz w:val="32"/>
          <w:szCs w:val="32"/>
        </w:rPr>
        <w:t>面向社会人员招收的在籍学生</w:t>
      </w:r>
    </w:p>
    <w:p>
      <w:pPr>
        <w:widowControl/>
        <w:spacing w:line="469" w:lineRule="atLeast"/>
        <w:jc w:val="center"/>
        <w:rPr>
          <w:rFonts w:ascii="Tahoma" w:hAnsi="Tahoma" w:eastAsia="宋体" w:cs="Tahoma"/>
          <w:b/>
          <w:bCs/>
          <w:color w:val="000000"/>
          <w:kern w:val="0"/>
          <w:sz w:val="32"/>
          <w:szCs w:val="32"/>
        </w:rPr>
      </w:pPr>
      <w:r>
        <w:rPr>
          <w:rFonts w:hint="eastAsia" w:ascii="Tahoma" w:hAnsi="Tahoma" w:eastAsia="宋体" w:cs="Tahoma"/>
          <w:b/>
          <w:bCs/>
          <w:color w:val="000000"/>
          <w:kern w:val="0"/>
          <w:sz w:val="32"/>
          <w:szCs w:val="32"/>
        </w:rPr>
        <w:t>学分认定、积累和转换办法</w:t>
      </w:r>
      <w:r>
        <w:rPr>
          <w:rFonts w:ascii="Tahoma" w:hAnsi="Tahoma" w:eastAsia="宋体" w:cs="Tahoma"/>
          <w:b/>
          <w:bCs/>
          <w:color w:val="000000"/>
          <w:kern w:val="0"/>
          <w:sz w:val="32"/>
          <w:szCs w:val="32"/>
        </w:rPr>
        <w:t>实施细则（试行）</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为了</w:t>
      </w:r>
      <w:r>
        <w:rPr>
          <w:rFonts w:cs="仿宋_GB2312" w:asciiTheme="minorEastAsia" w:hAnsiTheme="minorEastAsia" w:eastAsiaTheme="minorEastAsia"/>
          <w:sz w:val="21"/>
          <w:szCs w:val="21"/>
        </w:rPr>
        <w:t>鼓励、支持和指导</w:t>
      </w:r>
      <w:r>
        <w:rPr>
          <w:rFonts w:hint="eastAsia" w:cs="仿宋_GB2312" w:asciiTheme="minorEastAsia" w:hAnsiTheme="minorEastAsia" w:eastAsiaTheme="minorEastAsia"/>
          <w:sz w:val="21"/>
          <w:szCs w:val="21"/>
        </w:rPr>
        <w:t>退役军人、下岗职工、农民工、新型职业农民及在岗职工等群体提升学历</w:t>
      </w:r>
      <w:r>
        <w:rPr>
          <w:rFonts w:cs="仿宋_GB2312" w:asciiTheme="minorEastAsia" w:hAnsiTheme="minorEastAsia" w:eastAsiaTheme="minorEastAsia"/>
          <w:sz w:val="21"/>
          <w:szCs w:val="21"/>
        </w:rPr>
        <w:t>，对</w:t>
      </w:r>
      <w:r>
        <w:rPr>
          <w:rFonts w:hint="eastAsia" w:cs="仿宋_GB2312" w:asciiTheme="minorEastAsia" w:hAnsiTheme="minorEastAsia" w:eastAsiaTheme="minorEastAsia"/>
          <w:sz w:val="21"/>
          <w:szCs w:val="21"/>
        </w:rPr>
        <w:t>退役军人、下岗职工、农民工、新型职业农民及在岗职工等群体</w:t>
      </w:r>
      <w:r>
        <w:rPr>
          <w:rFonts w:cs="仿宋_GB2312" w:asciiTheme="minorEastAsia" w:hAnsiTheme="minorEastAsia" w:eastAsiaTheme="minorEastAsia"/>
          <w:sz w:val="21"/>
          <w:szCs w:val="21"/>
        </w:rPr>
        <w:t>参加</w:t>
      </w:r>
      <w:r>
        <w:rPr>
          <w:rFonts w:hint="eastAsia" w:cs="仿宋_GB2312" w:asciiTheme="minorEastAsia" w:hAnsiTheme="minorEastAsia" w:eastAsiaTheme="minorEastAsia"/>
          <w:sz w:val="21"/>
          <w:szCs w:val="21"/>
        </w:rPr>
        <w:t>其他国民系列教育（已取得学信网可查的毕业证书）、参加职业资格证书考试</w:t>
      </w:r>
      <w:r>
        <w:rPr>
          <w:rFonts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rPr>
        <w:t>参加开放课程学习平台学习、参加职业技能竞赛、参加专业技术和岗位培训</w:t>
      </w:r>
      <w:r>
        <w:rPr>
          <w:rFonts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rPr>
        <w:t>获得</w:t>
      </w:r>
      <w:r>
        <w:rPr>
          <w:rFonts w:cs="仿宋_GB2312" w:asciiTheme="minorEastAsia" w:hAnsiTheme="minorEastAsia" w:eastAsiaTheme="minorEastAsia"/>
          <w:sz w:val="21"/>
          <w:szCs w:val="21"/>
        </w:rPr>
        <w:t>发表论文、获得专利授权等</w:t>
      </w:r>
      <w:r>
        <w:rPr>
          <w:rFonts w:hint="eastAsia" w:cs="仿宋_GB2312" w:asciiTheme="minorEastAsia" w:hAnsiTheme="minorEastAsia" w:eastAsiaTheme="minorEastAsia"/>
          <w:sz w:val="21"/>
          <w:szCs w:val="21"/>
        </w:rPr>
        <w:t>业绩类成果且</w:t>
      </w:r>
      <w:r>
        <w:rPr>
          <w:rFonts w:cs="仿宋_GB2312" w:asciiTheme="minorEastAsia" w:hAnsiTheme="minorEastAsia" w:eastAsiaTheme="minorEastAsia"/>
          <w:sz w:val="21"/>
          <w:szCs w:val="21"/>
        </w:rPr>
        <w:t>与专业学习、学业要求相关的经历、成果，可以折算为学分（以下称为转换学分），计入学业成绩。</w:t>
      </w:r>
      <w:r>
        <w:rPr>
          <w:rFonts w:hint="eastAsia" w:cs="仿宋_GB2312" w:asciiTheme="minorEastAsia" w:hAnsiTheme="minorEastAsia" w:eastAsiaTheme="minorEastAsia"/>
          <w:sz w:val="21"/>
          <w:szCs w:val="21"/>
        </w:rPr>
        <w:t>但认定和转换的全部学分不得超过相关专业毕业总学分的50%。内容相同或相近的国家职业资格证书、培训证书、竞赛奖励等成果不得重复转换，以最高级所认定的学分进行转换。</w:t>
      </w:r>
      <w:r>
        <w:rPr>
          <w:rFonts w:cs="仿宋_GB2312" w:asciiTheme="minorEastAsia" w:hAnsiTheme="minorEastAsia" w:eastAsiaTheme="minorEastAsia"/>
          <w:sz w:val="21"/>
          <w:szCs w:val="21"/>
        </w:rPr>
        <w:t>具体办法规定如下：</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　一、具有国民教育系列学历的正式学习成果</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教育部注册的公立普通高校全日制教育、公立高等职业院校全日制教育、全国自学考试、成人函授教育、远程教育以及其他国家承认的国民教育序列的学历教育，专科及以上，其已修的学历课程</w:t>
      </w:r>
      <w:r>
        <w:rPr>
          <w:rFonts w:hint="eastAsia" w:cs="仿宋_GB2312" w:asciiTheme="minorEastAsia" w:hAnsiTheme="minorEastAsia" w:eastAsiaTheme="minorEastAsia"/>
          <w:sz w:val="21"/>
          <w:szCs w:val="21"/>
        </w:rPr>
        <w:t>与现有课程名称相同或相近，教学目标相近，教学内容相关度在80%以上，可认定和转换为高职院校对应课程的学分，</w:t>
      </w:r>
      <w:r>
        <w:rPr>
          <w:rFonts w:hint="eastAsia" w:asciiTheme="minorEastAsia" w:hAnsiTheme="minorEastAsia" w:eastAsiaTheme="minorEastAsia"/>
          <w:color w:val="333333"/>
          <w:sz w:val="21"/>
          <w:szCs w:val="21"/>
        </w:rPr>
        <w:t>具体要求如下：</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1.已修的学历课程成绩合格；</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2.已修的学历课程在内容上要与现修课程内容至少达到80%的吻合度，方可认定为有效。</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3.已经获得专科或本科毕业证书可以选择4门非专业课程免修。</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4.已修的学历课程最高可以认定学分不超过专业总学分的50%。</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（一）同等及以上学历的学分认定和转换</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1.</w:t>
      </w:r>
      <w:r>
        <w:rPr>
          <w:rFonts w:asciiTheme="minorEastAsia" w:hAnsiTheme="minorEastAsia" w:eastAsiaTheme="minorEastAsia"/>
          <w:color w:val="333333"/>
          <w:sz w:val="21"/>
          <w:szCs w:val="21"/>
        </w:rPr>
        <w:t>在原</w:t>
      </w:r>
      <w:r>
        <w:rPr>
          <w:rFonts w:hint="eastAsia" w:asciiTheme="minorEastAsia" w:hAnsiTheme="minorEastAsia" w:eastAsiaTheme="minorEastAsia"/>
          <w:color w:val="333333"/>
          <w:sz w:val="21"/>
          <w:szCs w:val="21"/>
        </w:rPr>
        <w:t>同等及以上学历取得过程中</w:t>
      </w:r>
      <w:r>
        <w:rPr>
          <w:rFonts w:asciiTheme="minorEastAsia" w:hAnsiTheme="minorEastAsia" w:eastAsiaTheme="minorEastAsia"/>
          <w:color w:val="333333"/>
          <w:sz w:val="21"/>
          <w:szCs w:val="21"/>
        </w:rPr>
        <w:t>修得的思想政治理论课、计算机基础课、军训和军事理论课、体育必修课等通识教育课的学分，可直接转换为转入专业相应</w:t>
      </w:r>
      <w:r>
        <w:rPr>
          <w:rFonts w:hint="eastAsia" w:asciiTheme="minorEastAsia" w:hAnsiTheme="minorEastAsia" w:eastAsiaTheme="minorEastAsia"/>
          <w:color w:val="333333"/>
          <w:sz w:val="21"/>
          <w:szCs w:val="21"/>
        </w:rPr>
        <w:t>课程</w:t>
      </w:r>
      <w:r>
        <w:rPr>
          <w:rFonts w:asciiTheme="minorEastAsia" w:hAnsiTheme="minorEastAsia" w:eastAsiaTheme="minorEastAsia"/>
          <w:color w:val="333333"/>
          <w:sz w:val="21"/>
          <w:szCs w:val="21"/>
        </w:rPr>
        <w:t>的学分。</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2.</w:t>
      </w:r>
      <w:r>
        <w:rPr>
          <w:rFonts w:asciiTheme="minorEastAsia" w:hAnsiTheme="minorEastAsia" w:eastAsiaTheme="minorEastAsia"/>
          <w:color w:val="333333"/>
          <w:sz w:val="21"/>
          <w:szCs w:val="21"/>
        </w:rPr>
        <w:t>在原</w:t>
      </w:r>
      <w:r>
        <w:rPr>
          <w:rFonts w:hint="eastAsia" w:asciiTheme="minorEastAsia" w:hAnsiTheme="minorEastAsia" w:eastAsiaTheme="minorEastAsia"/>
          <w:color w:val="333333"/>
          <w:sz w:val="21"/>
          <w:szCs w:val="21"/>
        </w:rPr>
        <w:t>同等及以上学历取得过程中</w:t>
      </w:r>
      <w:r>
        <w:rPr>
          <w:rFonts w:asciiTheme="minorEastAsia" w:hAnsiTheme="minorEastAsia" w:eastAsiaTheme="minorEastAsia"/>
          <w:color w:val="333333"/>
          <w:sz w:val="21"/>
          <w:szCs w:val="21"/>
        </w:rPr>
        <w:t>修得的课程学分，若原课程内容与</w:t>
      </w:r>
      <w:r>
        <w:rPr>
          <w:rFonts w:hint="eastAsia" w:asciiTheme="minorEastAsia" w:hAnsiTheme="minorEastAsia" w:eastAsiaTheme="minorEastAsia"/>
          <w:color w:val="333333"/>
          <w:sz w:val="21"/>
          <w:szCs w:val="21"/>
        </w:rPr>
        <w:t>现有课程名称相同或相近，教学目标相近，教学内容相关度在80%以上</w:t>
      </w:r>
      <w:r>
        <w:rPr>
          <w:rFonts w:asciiTheme="minorEastAsia" w:hAnsiTheme="minorEastAsia" w:eastAsiaTheme="minorEastAsia"/>
          <w:color w:val="333333"/>
          <w:sz w:val="21"/>
          <w:szCs w:val="21"/>
        </w:rPr>
        <w:t>，且学时、学分</w:t>
      </w:r>
      <w:r>
        <w:rPr>
          <w:rFonts w:hint="eastAsia" w:asciiTheme="minorEastAsia" w:hAnsiTheme="minorEastAsia" w:eastAsiaTheme="minorEastAsia"/>
          <w:color w:val="333333"/>
          <w:sz w:val="21"/>
          <w:szCs w:val="21"/>
        </w:rPr>
        <w:t>也</w:t>
      </w:r>
      <w:r>
        <w:rPr>
          <w:rFonts w:asciiTheme="minorEastAsia" w:hAnsiTheme="minorEastAsia" w:eastAsiaTheme="minorEastAsia"/>
          <w:color w:val="333333"/>
          <w:sz w:val="21"/>
          <w:szCs w:val="21"/>
        </w:rPr>
        <w:t>基本一致，则可以转换为相应课程的学分。</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（二）低一级学历的学分认定和转换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1.低一级学历的学分认定和转换仅适用于实践技能类课程。</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2.低一级学历的学分认定和转换为学历教育课程的学分，原则上不得超过相关专业毕业总学分的25%。</w:t>
      </w:r>
    </w:p>
    <w:p>
      <w:pPr>
        <w:pStyle w:val="14"/>
        <w:shd w:val="clear" w:color="auto" w:fill="FFFFFF"/>
        <w:spacing w:before="0" w:beforeAutospacing="0" w:after="0" w:afterAutospacing="0" w:line="360" w:lineRule="auto"/>
        <w:rPr>
          <w:rFonts w:cs="Arial" w:asciiTheme="minorEastAsia" w:hAnsiTheme="minorEastAsia" w:eastAsiaTheme="minorEastAsia"/>
          <w:color w:val="333333"/>
          <w:sz w:val="21"/>
          <w:szCs w:val="21"/>
        </w:rPr>
      </w:pPr>
      <w:r>
        <w:rPr>
          <w:rFonts w:hint="eastAsia" w:cs="仿宋_GB2312" w:asciiTheme="minorEastAsia" w:hAnsiTheme="minorEastAsia"/>
          <w:szCs w:val="21"/>
        </w:rPr>
        <w:t xml:space="preserve">    </w:t>
      </w:r>
      <w:r>
        <w:rPr>
          <w:rFonts w:hint="eastAsia" w:cs="Arial" w:asciiTheme="minorEastAsia" w:hAnsiTheme="minorEastAsia" w:eastAsiaTheme="minorEastAsia"/>
          <w:color w:val="333333"/>
          <w:sz w:val="21"/>
          <w:szCs w:val="21"/>
        </w:rPr>
        <w:t>3.已具有国民教育系列中职(含技工教育)及同等学历者，进入高职院校高职专业学习，其所学课程与现有该类课程名称相同或相近，教学目标相同，教学内容相关度达到100%，可认定和转换为相应课程的学分,替换课程的教学要求、学分数应等于或高于被替换课程。</w:t>
      </w:r>
    </w:p>
    <w:p>
      <w:pPr>
        <w:pStyle w:val="14"/>
        <w:spacing w:before="0" w:beforeAutospacing="0" w:after="0" w:afterAutospacing="0" w:line="360" w:lineRule="auto"/>
        <w:ind w:firstLine="310" w:firstLineChars="147"/>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（三）高等教育自学考试课程的学分认定和转换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通过高等教育自学考试的课程，以课程为基础，课程名称相同或相近，自学考试考试大纲和高职院校教学内容相关度80%以上，不分学历层次，可认定和转换为高职院校学分相近或相同的对应课程学分，原则上不得超过相关专业毕业总学分的50%。</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　二、线上线下学习培训获得的证书</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（一）在线课程学习证书的学分认定和转换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在线课程学习证书是指在国内外主流开放课程学习平台获得的学习证书。</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在线课程学习证书的学分认定和转换为学历教育课程的学分，原则上不得超过相关专业毕业总学分的25%。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在线课程的教学目标、教学课时、教学内容和考核要求等内容为依据认定和转换对应课程的学分。</w:t>
      </w:r>
    </w:p>
    <w:p>
      <w:pPr>
        <w:pStyle w:val="14"/>
        <w:shd w:val="clear" w:color="auto" w:fill="FFFFFF"/>
        <w:spacing w:before="0" w:beforeAutospacing="0" w:after="0" w:afterAutospacing="0" w:line="360" w:lineRule="auto"/>
        <w:ind w:firstLine="420" w:firstLineChars="200"/>
        <w:rPr>
          <w:rFonts w:cs="Arial" w:asciiTheme="minorEastAsia" w:hAnsiTheme="minorEastAsia" w:eastAsiaTheme="minorEastAsia"/>
          <w:color w:val="333333"/>
          <w:sz w:val="21"/>
          <w:szCs w:val="21"/>
        </w:rPr>
      </w:pPr>
      <w:r>
        <w:rPr>
          <w:rFonts w:hint="eastAsia" w:cs="Arial" w:asciiTheme="minorEastAsia" w:hAnsiTheme="minorEastAsia" w:eastAsiaTheme="minorEastAsia"/>
          <w:color w:val="333333"/>
          <w:sz w:val="21"/>
          <w:szCs w:val="21"/>
        </w:rPr>
        <w:t>4．学生线上课程学习完成后，应在结束课程的一个月内将校外单位提供的成绩单（实习实践证明、证书）原件及复印件两份提交学生所在系。</w:t>
      </w:r>
    </w:p>
    <w:p>
      <w:pPr>
        <w:pStyle w:val="14"/>
        <w:shd w:val="clear" w:color="auto" w:fill="FFFFFF"/>
        <w:spacing w:before="0" w:beforeAutospacing="0" w:after="0" w:afterAutospacing="0" w:line="360" w:lineRule="auto"/>
        <w:ind w:firstLine="420" w:firstLineChars="200"/>
        <w:rPr>
          <w:rFonts w:cs="Arial" w:asciiTheme="minorEastAsia" w:hAnsiTheme="minorEastAsia" w:eastAsiaTheme="minorEastAsia"/>
          <w:color w:val="333333"/>
          <w:sz w:val="21"/>
          <w:szCs w:val="21"/>
        </w:rPr>
      </w:pPr>
      <w:r>
        <w:rPr>
          <w:rFonts w:hint="eastAsia" w:cs="Arial" w:asciiTheme="minorEastAsia" w:hAnsiTheme="minorEastAsia" w:eastAsiaTheme="minorEastAsia"/>
          <w:color w:val="333333"/>
          <w:sz w:val="21"/>
          <w:szCs w:val="21"/>
        </w:rPr>
        <w:t>5．专业类教学环节由系完成学分认定，报教务处备案并登录成绩；基础类创新创业类课程、人文素质类课程报教务处进行课程模块和学分审核、认定、备案并登录成绩。</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（二）培训证书的学分认定和转换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培训证书是指由国家行政部门认定的有关职业技能、专业技术和岗位培训等方面证书。</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培训证书的学分认定和转换为学历教育课程的学分，原则上不得超过相关专业毕业总学分的25%。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根据培训证书的级别和内容相关程度，可认定和转换为相应高等学校相关专业对应课程的学分。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4. 培训证书学分认定和转换为学历教育课程学分，应为学生入学后获得，且有效期为学习者获得培训证书之日起的 3 年内。</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三、具有国家承认的资格证书类学习成果</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学生既往获得的各类资格证书，与现修专业（课程）内容相关且不低于现修专业（课程）要求者，可以申请学分认定，学分认定提交的材料需保证认定当前的时间节点属于证书的有效时间范围。</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（一）国家职业资格证书的学分认定和转换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国家职业资格证书是指按照国家职业标准，通过政府认定的考核鉴定机构，对劳动者的技能水平和从业资格进行评价和认定的国家证书。</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2. 国家职业资格证书的学分认定和转换为学历教育课程的学分，原则上不得超过相关专业毕业总学分的25%。 </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3.学生参加各类国家职业资格考试、社会技能考试等，取得合格以上成绩或资格证书的，根据国家职业资格证书级别和内容相关程度，可认定和转换为相应的“课证融通”课程或综合实践课程学分。</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（二）非国家职业资格证书的学分认定和转换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非国家职业资格证书指技能等级证书、专项能力证书、政府认定的行业证书等。</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非国家职业资格证书的学分认定和转换为学历教育课程的学分，原则上不得超过相关专业毕业总学分的25%。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根据非国家职业资格证书的级别和内容相关度，可认定和转换为相应高等学校对应课程的学分。</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四、业绩类成果的学分认定和转换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业绩类成果主要指个人取得学术、职业或其他方面的成果，包括但不限于创新创业、科学研究、社会服务、文化传承、竞赛奖励等。</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2. 业绩类成果的学分认定和转换为学历教育课程的学分，原则上不得超过相关专业毕业总学分的25%。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3.学生参加学校组织或认可的各类专业比赛、竞赛，获省级以上奖项的，经评审后可认定和转换为相应的专业课程或专业实践环节学分，也可申请认定为公选课学分。如已申请竞赛加分的，不再予以课程替换和学分认定。</w:t>
      </w:r>
    </w:p>
    <w:p>
      <w:pPr>
        <w:pStyle w:val="14"/>
        <w:spacing w:before="0" w:beforeAutospacing="0" w:after="0" w:afterAutospacing="0" w:line="360" w:lineRule="auto"/>
        <w:ind w:firstLine="420" w:firstLineChars="200"/>
        <w:rPr>
          <w:rFonts w:hint="eastAsia"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4. 学生参加学校组织或认可的非专业类比赛，个人获得省市级以上荣誉的，或参加学校组织及认可的非本专业实践活动，个人获得省市级以上荣誉的，可认定为素质拓展类公选课学分。素质拓展类公选课累计认定不超过2学分。</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5.各级非物质文化遗产代表性项目代表传承人、技能大师和工匠大师，其所学专业与其专长相匹配，相应高职院校应承认其成果并分配相应学分。    </w:t>
      </w:r>
    </w:p>
    <w:p>
      <w:pPr>
        <w:pStyle w:val="14"/>
        <w:spacing w:before="0" w:beforeAutospacing="0" w:after="0" w:afterAutospacing="0" w:line="360" w:lineRule="auto"/>
        <w:ind w:firstLine="420" w:firstLineChars="200"/>
        <w:rPr>
          <w:rFonts w:hint="eastAsia"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6. 职业经历、实习实践、志愿服务、创新创业、科学研究、社会服务、文化传承、专利版权等体现资历、资格和能力的学习成果，通过一定的标准和程序，经认定后可转换为相对应课程的学分。 </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7.学生公开发表学术论文、主持参与科研项目，可认定为创新创业类公共选修课学分，累计不超过2学分。如研究内容与培养计划中课程要求内容相同或相近的，可申请课程替换认定为相应课程的学分。</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（一）正式学习成果认定</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学生可直接申请不高于被学分认定课程的专业层次的课程学分，系部组织学习成果审核组进行审核，将审核结果报教务处核查备案。系部逐步建立《正式学习成果认证课程匹配目录表》。</w:t>
      </w:r>
    </w:p>
    <w:p>
      <w:pPr>
        <w:snapToGrid w:val="0"/>
        <w:spacing w:line="360" w:lineRule="auto"/>
        <w:ind w:firstLine="420" w:firstLineChars="200"/>
        <w:jc w:val="left"/>
        <w:rPr>
          <w:rFonts w:asciiTheme="minorEastAsia" w:hAnsiTheme="minorEastAsia"/>
          <w:szCs w:val="21"/>
        </w:rPr>
      </w:pPr>
      <w:r>
        <w:rPr>
          <w:rFonts w:hint="eastAsia" w:asciiTheme="minorEastAsia" w:hAnsiTheme="minorEastAsia"/>
          <w:szCs w:val="21"/>
        </w:rPr>
        <w:t>1.</w:t>
      </w:r>
      <w:r>
        <w:rPr>
          <w:rFonts w:cs="Times New Roman" w:asciiTheme="minorEastAsia" w:hAnsiTheme="minorEastAsia"/>
          <w:szCs w:val="21"/>
        </w:rPr>
        <w:t>各类公开发表的学术论文：（1）被SCI、SSCI、EI检索</w:t>
      </w:r>
      <w:r>
        <w:rPr>
          <w:rFonts w:hint="eastAsia" w:cs="Times New Roman" w:asciiTheme="minorEastAsia" w:hAnsiTheme="minorEastAsia"/>
          <w:szCs w:val="21"/>
        </w:rPr>
        <w:t>或权威期刊，</w:t>
      </w:r>
      <w:r>
        <w:rPr>
          <w:rFonts w:cs="Times New Roman" w:asciiTheme="minorEastAsia" w:hAnsiTheme="minorEastAsia"/>
          <w:szCs w:val="21"/>
        </w:rPr>
        <w:t>5学分；（2）一级学术期刊</w:t>
      </w:r>
      <w:r>
        <w:rPr>
          <w:rFonts w:hint="eastAsia" w:cs="Times New Roman" w:asciiTheme="minorEastAsia" w:hAnsiTheme="minorEastAsia"/>
          <w:szCs w:val="21"/>
        </w:rPr>
        <w:t>，</w:t>
      </w:r>
      <w:r>
        <w:rPr>
          <w:rFonts w:cs="Times New Roman" w:asciiTheme="minorEastAsia" w:hAnsiTheme="minorEastAsia"/>
          <w:szCs w:val="21"/>
        </w:rPr>
        <w:t>4学分；（3）核心学术期刊</w:t>
      </w:r>
      <w:r>
        <w:rPr>
          <w:rFonts w:hint="eastAsia" w:cs="Times New Roman" w:asciiTheme="minorEastAsia" w:hAnsiTheme="minorEastAsia"/>
          <w:szCs w:val="21"/>
        </w:rPr>
        <w:t>，</w:t>
      </w:r>
      <w:r>
        <w:rPr>
          <w:rFonts w:cs="Times New Roman" w:asciiTheme="minorEastAsia" w:hAnsiTheme="minorEastAsia"/>
          <w:szCs w:val="21"/>
        </w:rPr>
        <w:t>3学分；</w:t>
      </w:r>
      <w:r>
        <w:rPr>
          <w:rFonts w:hint="eastAsia" w:cs="Times New Roman" w:asciiTheme="minorEastAsia" w:hAnsiTheme="minorEastAsia"/>
          <w:szCs w:val="21"/>
        </w:rPr>
        <w:t>普刊2学分。</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2．正式出版著作：4学分。</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3．</w:t>
      </w:r>
      <w:r>
        <w:rPr>
          <w:rFonts w:cs="Times New Roman" w:asciiTheme="minorEastAsia" w:hAnsiTheme="minorEastAsia"/>
          <w:szCs w:val="21"/>
        </w:rPr>
        <w:t>科学研究：（1）通过科技主管部门鉴定：</w:t>
      </w:r>
      <w:r>
        <w:rPr>
          <w:rFonts w:hint="eastAsia" w:cs="Times New Roman" w:asciiTheme="minorEastAsia" w:hAnsiTheme="minorEastAsia"/>
          <w:szCs w:val="21"/>
        </w:rPr>
        <w:t>①</w:t>
      </w:r>
      <w:r>
        <w:rPr>
          <w:rFonts w:cs="Times New Roman" w:asciiTheme="minorEastAsia" w:hAnsiTheme="minorEastAsia"/>
          <w:szCs w:val="21"/>
        </w:rPr>
        <w:t>省部级5学分；</w:t>
      </w:r>
      <w:r>
        <w:rPr>
          <w:rFonts w:hint="eastAsia" w:cs="Times New Roman" w:asciiTheme="minorEastAsia" w:hAnsiTheme="minorEastAsia"/>
          <w:szCs w:val="21"/>
        </w:rPr>
        <w:t>②</w:t>
      </w:r>
      <w:r>
        <w:rPr>
          <w:rFonts w:cs="Times New Roman" w:asciiTheme="minorEastAsia" w:hAnsiTheme="minorEastAsia"/>
          <w:szCs w:val="21"/>
        </w:rPr>
        <w:t>市级4学分；（2）取得发明专利5学分；取得实用新型专利3学分；取得外观设计专利</w:t>
      </w:r>
      <w:r>
        <w:rPr>
          <w:rFonts w:hint="eastAsia" w:cs="Times New Roman" w:asciiTheme="minorEastAsia" w:hAnsiTheme="minorEastAsia"/>
          <w:szCs w:val="21"/>
        </w:rPr>
        <w:t>1</w:t>
      </w:r>
      <w:r>
        <w:rPr>
          <w:rFonts w:cs="Times New Roman" w:asciiTheme="minorEastAsia" w:hAnsiTheme="minorEastAsia"/>
          <w:szCs w:val="21"/>
        </w:rPr>
        <w:t>学分；（3）</w:t>
      </w:r>
      <w:r>
        <w:rPr>
          <w:rFonts w:hint="eastAsia" w:cs="Times New Roman" w:asciiTheme="minorEastAsia" w:hAnsiTheme="minorEastAsia"/>
          <w:szCs w:val="21"/>
        </w:rPr>
        <w:t>主持</w:t>
      </w:r>
      <w:r>
        <w:rPr>
          <w:rFonts w:cs="Times New Roman" w:asciiTheme="minorEastAsia" w:hAnsiTheme="minorEastAsia"/>
          <w:szCs w:val="21"/>
        </w:rPr>
        <w:t>纵向课题</w:t>
      </w:r>
      <w:r>
        <w:rPr>
          <w:rFonts w:hint="eastAsia" w:cs="Times New Roman" w:asciiTheme="minorEastAsia" w:hAnsiTheme="minorEastAsia"/>
          <w:szCs w:val="21"/>
        </w:rPr>
        <w:t>（包括科研项目）</w:t>
      </w:r>
      <w:r>
        <w:rPr>
          <w:rFonts w:cs="Times New Roman" w:asciiTheme="minorEastAsia" w:hAnsiTheme="minorEastAsia"/>
          <w:szCs w:val="21"/>
        </w:rPr>
        <w:t>并完成：</w:t>
      </w:r>
      <w:r>
        <w:rPr>
          <w:rFonts w:hint="eastAsia" w:cs="Times New Roman" w:asciiTheme="minorEastAsia" w:hAnsiTheme="minorEastAsia"/>
          <w:szCs w:val="21"/>
        </w:rPr>
        <w:t>①</w:t>
      </w:r>
      <w:r>
        <w:rPr>
          <w:rFonts w:cs="Times New Roman" w:asciiTheme="minorEastAsia" w:hAnsiTheme="minorEastAsia"/>
          <w:szCs w:val="21"/>
        </w:rPr>
        <w:t>国家级5学分；</w:t>
      </w:r>
      <w:r>
        <w:rPr>
          <w:rFonts w:hint="eastAsia" w:cs="Times New Roman" w:asciiTheme="minorEastAsia" w:hAnsiTheme="minorEastAsia"/>
          <w:szCs w:val="21"/>
        </w:rPr>
        <w:t>②</w:t>
      </w:r>
      <w:r>
        <w:rPr>
          <w:rFonts w:cs="Times New Roman" w:asciiTheme="minorEastAsia" w:hAnsiTheme="minorEastAsia"/>
          <w:szCs w:val="21"/>
        </w:rPr>
        <w:t>省级4学分；</w:t>
      </w:r>
      <w:r>
        <w:rPr>
          <w:rFonts w:hint="eastAsia" w:cs="Times New Roman" w:asciiTheme="minorEastAsia" w:hAnsiTheme="minorEastAsia"/>
          <w:szCs w:val="21"/>
        </w:rPr>
        <w:t>③</w:t>
      </w:r>
      <w:r>
        <w:rPr>
          <w:rFonts w:cs="Times New Roman" w:asciiTheme="minorEastAsia" w:hAnsiTheme="minorEastAsia"/>
          <w:szCs w:val="21"/>
        </w:rPr>
        <w:t>市级</w:t>
      </w:r>
      <w:r>
        <w:rPr>
          <w:rFonts w:hint="eastAsia" w:cs="Times New Roman" w:asciiTheme="minorEastAsia" w:hAnsiTheme="minorEastAsia"/>
          <w:szCs w:val="21"/>
        </w:rPr>
        <w:t>2</w:t>
      </w:r>
      <w:r>
        <w:rPr>
          <w:rFonts w:cs="Times New Roman" w:asciiTheme="minorEastAsia" w:hAnsiTheme="minorEastAsia"/>
          <w:szCs w:val="21"/>
        </w:rPr>
        <w:t>学分；</w:t>
      </w:r>
      <w:r>
        <w:rPr>
          <w:rFonts w:hint="eastAsia" w:cs="Times New Roman" w:asciiTheme="minorEastAsia" w:hAnsiTheme="minorEastAsia"/>
          <w:szCs w:val="21"/>
        </w:rPr>
        <w:t>④</w:t>
      </w:r>
      <w:r>
        <w:rPr>
          <w:rFonts w:cs="Times New Roman" w:asciiTheme="minorEastAsia" w:hAnsiTheme="minorEastAsia"/>
          <w:szCs w:val="21"/>
        </w:rPr>
        <w:t>校级</w:t>
      </w:r>
      <w:r>
        <w:rPr>
          <w:rFonts w:hint="eastAsia" w:cs="Times New Roman" w:asciiTheme="minorEastAsia" w:hAnsiTheme="minorEastAsia"/>
          <w:szCs w:val="21"/>
        </w:rPr>
        <w:t>重点项目1</w:t>
      </w:r>
      <w:r>
        <w:rPr>
          <w:rFonts w:cs="Times New Roman" w:asciiTheme="minorEastAsia" w:hAnsiTheme="minorEastAsia"/>
          <w:szCs w:val="21"/>
        </w:rPr>
        <w:t>学分</w:t>
      </w:r>
      <w:r>
        <w:rPr>
          <w:rFonts w:hint="eastAsia" w:cs="Times New Roman" w:asciiTheme="minorEastAsia" w:hAnsiTheme="minorEastAsia"/>
          <w:szCs w:val="21"/>
        </w:rPr>
        <w:t>，校级一般项目0.5学分</w:t>
      </w:r>
      <w:r>
        <w:rPr>
          <w:rFonts w:cs="Times New Roman" w:asciiTheme="minorEastAsia" w:hAnsiTheme="minorEastAsia"/>
          <w:szCs w:val="21"/>
        </w:rPr>
        <w:t>。（4）</w:t>
      </w:r>
      <w:r>
        <w:rPr>
          <w:rFonts w:hint="eastAsia" w:cs="Times New Roman" w:asciiTheme="minorEastAsia" w:hAnsiTheme="minorEastAsia"/>
          <w:szCs w:val="21"/>
        </w:rPr>
        <w:t>主持并</w:t>
      </w:r>
      <w:r>
        <w:rPr>
          <w:rFonts w:cs="Times New Roman" w:asciiTheme="minorEastAsia" w:hAnsiTheme="minorEastAsia"/>
          <w:szCs w:val="21"/>
        </w:rPr>
        <w:t>完成横向课题并得到校科研处确认，课题经费在：</w:t>
      </w:r>
      <w:r>
        <w:rPr>
          <w:rFonts w:hint="eastAsia" w:cs="Times New Roman" w:asciiTheme="minorEastAsia" w:hAnsiTheme="minorEastAsia"/>
          <w:szCs w:val="21"/>
        </w:rPr>
        <w:t>①</w:t>
      </w:r>
      <w:r>
        <w:rPr>
          <w:rFonts w:cs="Times New Roman" w:asciiTheme="minorEastAsia" w:hAnsiTheme="minorEastAsia"/>
          <w:szCs w:val="21"/>
        </w:rPr>
        <w:t>20万元及以上5学分；</w:t>
      </w:r>
      <w:r>
        <w:rPr>
          <w:rFonts w:hint="eastAsia" w:cs="Times New Roman" w:asciiTheme="minorEastAsia" w:hAnsiTheme="minorEastAsia"/>
          <w:szCs w:val="21"/>
        </w:rPr>
        <w:t>②</w:t>
      </w:r>
      <w:r>
        <w:rPr>
          <w:rFonts w:cs="Times New Roman" w:asciiTheme="minorEastAsia" w:hAnsiTheme="minorEastAsia"/>
          <w:szCs w:val="21"/>
        </w:rPr>
        <w:t>5万元及以上</w:t>
      </w:r>
      <w:r>
        <w:rPr>
          <w:rFonts w:hint="eastAsia" w:cs="Times New Roman" w:asciiTheme="minorEastAsia" w:hAnsiTheme="minorEastAsia"/>
          <w:szCs w:val="21"/>
        </w:rPr>
        <w:t>3</w:t>
      </w:r>
      <w:r>
        <w:rPr>
          <w:rFonts w:cs="Times New Roman" w:asciiTheme="minorEastAsia" w:hAnsiTheme="minorEastAsia"/>
          <w:szCs w:val="21"/>
        </w:rPr>
        <w:t>学分；</w:t>
      </w:r>
      <w:r>
        <w:rPr>
          <w:rFonts w:hint="eastAsia" w:cs="Times New Roman" w:asciiTheme="minorEastAsia" w:hAnsiTheme="minorEastAsia"/>
          <w:szCs w:val="21"/>
        </w:rPr>
        <w:t>③</w:t>
      </w:r>
      <w:r>
        <w:rPr>
          <w:rFonts w:cs="Times New Roman" w:asciiTheme="minorEastAsia" w:hAnsiTheme="minorEastAsia"/>
          <w:szCs w:val="21"/>
        </w:rPr>
        <w:t>2万元及以上</w:t>
      </w:r>
      <w:r>
        <w:rPr>
          <w:rFonts w:hint="eastAsia" w:cs="Times New Roman" w:asciiTheme="minorEastAsia" w:hAnsiTheme="minorEastAsia"/>
          <w:szCs w:val="21"/>
        </w:rPr>
        <w:t>2</w:t>
      </w:r>
      <w:r>
        <w:rPr>
          <w:rFonts w:cs="Times New Roman" w:asciiTheme="minorEastAsia" w:hAnsiTheme="minorEastAsia"/>
          <w:szCs w:val="21"/>
        </w:rPr>
        <w:t>学分；</w:t>
      </w:r>
      <w:r>
        <w:rPr>
          <w:rFonts w:hint="eastAsia" w:cs="Times New Roman" w:asciiTheme="minorEastAsia" w:hAnsiTheme="minorEastAsia"/>
          <w:szCs w:val="21"/>
        </w:rPr>
        <w:t>④1万</w:t>
      </w:r>
      <w:r>
        <w:rPr>
          <w:rFonts w:cs="Times New Roman" w:asciiTheme="minorEastAsia" w:hAnsiTheme="minorEastAsia"/>
          <w:szCs w:val="21"/>
        </w:rPr>
        <w:t>元及以上</w:t>
      </w:r>
      <w:r>
        <w:rPr>
          <w:rFonts w:hint="eastAsia" w:cs="Times New Roman" w:asciiTheme="minorEastAsia" w:hAnsiTheme="minorEastAsia"/>
          <w:szCs w:val="21"/>
        </w:rPr>
        <w:t>1</w:t>
      </w:r>
      <w:r>
        <w:rPr>
          <w:rFonts w:cs="Times New Roman" w:asciiTheme="minorEastAsia" w:hAnsiTheme="minorEastAsia"/>
          <w:szCs w:val="21"/>
        </w:rPr>
        <w:t>学分。</w:t>
      </w:r>
      <w:r>
        <w:rPr>
          <w:rFonts w:hint="eastAsia" w:cs="Times New Roman" w:asciiTheme="minorEastAsia" w:hAnsiTheme="minorEastAsia"/>
          <w:szCs w:val="21"/>
        </w:rPr>
        <w:t>（5）完成获得学校专项经费资助并有相应成果证明（作品）的开放实验项目，每次可获0.5学分，累计最高不超过1学分。</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4．</w:t>
      </w:r>
      <w:r>
        <w:rPr>
          <w:rFonts w:cs="Times New Roman" w:asciiTheme="minorEastAsia" w:hAnsiTheme="minorEastAsia"/>
          <w:szCs w:val="21"/>
        </w:rPr>
        <w:t>论文</w:t>
      </w:r>
      <w:r>
        <w:rPr>
          <w:rFonts w:hint="eastAsia" w:cs="Times New Roman" w:asciiTheme="minorEastAsia" w:hAnsiTheme="minorEastAsia"/>
          <w:szCs w:val="21"/>
        </w:rPr>
        <w:t>、著作或</w:t>
      </w:r>
      <w:r>
        <w:rPr>
          <w:rFonts w:cs="Times New Roman" w:asciiTheme="minorEastAsia" w:hAnsiTheme="minorEastAsia"/>
          <w:szCs w:val="21"/>
        </w:rPr>
        <w:t>科技成果第一作者第一完成人计满学分</w:t>
      </w:r>
      <w:r>
        <w:rPr>
          <w:rFonts w:hint="eastAsia" w:cs="Times New Roman" w:asciiTheme="minorEastAsia" w:hAnsiTheme="minorEastAsia"/>
          <w:szCs w:val="21"/>
        </w:rPr>
        <w:t>，</w:t>
      </w:r>
      <w:r>
        <w:rPr>
          <w:rFonts w:cs="Times New Roman" w:asciiTheme="minorEastAsia" w:hAnsiTheme="minorEastAsia"/>
          <w:szCs w:val="21"/>
        </w:rPr>
        <w:t>第二以下以第一作者或第一完成人得分乘以调节系数</w:t>
      </w:r>
      <w:r>
        <w:rPr>
          <w:rFonts w:hint="eastAsia" w:cs="Times New Roman" w:asciiTheme="minorEastAsia" w:hAnsiTheme="minorEastAsia"/>
          <w:szCs w:val="21"/>
        </w:rPr>
        <w:t>（系数具体见下表），</w:t>
      </w:r>
      <w:r>
        <w:rPr>
          <w:rFonts w:cs="Times New Roman" w:asciiTheme="minorEastAsia" w:hAnsiTheme="minorEastAsia"/>
          <w:szCs w:val="21"/>
        </w:rPr>
        <w:t>后取整记分值（不作四舍五入）保留小数点后一位，以0.5</w:t>
      </w:r>
      <w:r>
        <w:rPr>
          <w:rFonts w:hint="eastAsia" w:cs="Times New Roman" w:asciiTheme="minorEastAsia" w:hAnsiTheme="minorEastAsia"/>
          <w:szCs w:val="21"/>
        </w:rPr>
        <w:t>学分</w:t>
      </w:r>
      <w:r>
        <w:rPr>
          <w:rFonts w:cs="Times New Roman" w:asciiTheme="minorEastAsia" w:hAnsiTheme="minorEastAsia"/>
          <w:szCs w:val="21"/>
        </w:rPr>
        <w:t>为限。</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合作论文、著作</w:t>
      </w:r>
      <w:r>
        <w:rPr>
          <w:rFonts w:cs="Times New Roman" w:asciiTheme="minorEastAsia" w:hAnsiTheme="minorEastAsia"/>
          <w:szCs w:val="21"/>
        </w:rPr>
        <w:t>或科技成果</w:t>
      </w:r>
      <w:r>
        <w:rPr>
          <w:rFonts w:hint="eastAsia" w:cs="Times New Roman" w:asciiTheme="minorEastAsia" w:hAnsiTheme="minorEastAsia"/>
          <w:szCs w:val="21"/>
        </w:rPr>
        <w:t>按作者人数与排名次序分解系数如下：</w:t>
      </w:r>
    </w:p>
    <w:tbl>
      <w:tblPr>
        <w:tblStyle w:val="18"/>
        <w:tblW w:w="882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1"/>
        <w:gridCol w:w="1434"/>
        <w:gridCol w:w="1435"/>
        <w:gridCol w:w="1434"/>
        <w:gridCol w:w="1435"/>
        <w:gridCol w:w="14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作者人数</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第一作者</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第二作者</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第三作者</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第四作者</w:t>
            </w: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第五作者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1人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1.0</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2人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0.6</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0.4</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3人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w:t>
            </w:r>
            <w:r>
              <w:rPr>
                <w:rFonts w:cs="Times New Roman" w:asciiTheme="minorEastAsia" w:hAnsiTheme="minorEastAsia"/>
                <w:szCs w:val="21"/>
              </w:rPr>
              <w:t>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0.3</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w:t>
            </w:r>
            <w:r>
              <w:rPr>
                <w:rFonts w:cs="Times New Roman" w:asciiTheme="minorEastAsia" w:hAnsiTheme="minorEastAsia"/>
                <w:szCs w:val="21"/>
              </w:rPr>
              <w:t>.2</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4人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0.25</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5</w:t>
            </w:r>
            <w:r>
              <w:rPr>
                <w:rFonts w:hint="eastAsia" w:cs="Times New Roman" w:asciiTheme="minorEastAsia" w:hAnsiTheme="minorEastAsia"/>
                <w:szCs w:val="21"/>
              </w:rPr>
              <w:t>人及以上</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0.2</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r>
    </w:tbl>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 非正式学习成果认定</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非正式学习成果的认定，学生需提供证明自己知识和技能的相关材料，由学院组织审核小组，采用考察、考核等方式进行审核，并将审核通过的结果提交教务处核查备案。</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经验能力类是指学习者在既往的工作、生活经历中获得的，与现修专业（课程）相关的，并且达到一定水准要求的知识和技能。这类成果包括但不限于以下形式：</w:t>
      </w:r>
    </w:p>
    <w:p>
      <w:pPr>
        <w:pStyle w:val="14"/>
        <w:spacing w:before="0" w:beforeAutospacing="0" w:after="0" w:afterAutospacing="0" w:line="360" w:lineRule="auto"/>
        <w:ind w:firstLine="420" w:firstLineChars="200"/>
        <w:rPr>
          <w:color w:val="333333"/>
          <w:sz w:val="21"/>
          <w:szCs w:val="21"/>
        </w:rPr>
      </w:pPr>
      <w:r>
        <w:rPr>
          <w:rFonts w:hint="eastAsia"/>
          <w:color w:val="333333"/>
          <w:sz w:val="21"/>
          <w:szCs w:val="21"/>
        </w:rPr>
        <w:t>1</w:t>
      </w:r>
      <w:r>
        <w:rPr>
          <w:rFonts w:hint="eastAsia" w:asciiTheme="minorEastAsia" w:hAnsiTheme="minorEastAsia" w:eastAsiaTheme="minorEastAsia"/>
          <w:color w:val="333333"/>
          <w:sz w:val="21"/>
          <w:szCs w:val="21"/>
        </w:rPr>
        <w:t>.</w:t>
      </w:r>
      <w:r>
        <w:rPr>
          <w:rFonts w:hint="eastAsia"/>
          <w:color w:val="333333"/>
          <w:sz w:val="21"/>
          <w:szCs w:val="21"/>
        </w:rPr>
        <w:t>在本专业取得显著成绩，获全国、省、市级有关部门授予的“劳动模范”或“五一劳动奖章”或山西省劳动竞赛委员会授予的个人一等功或获部、省、市财政部门授予的“先进会计工作者”称号;或取得“山西省会计领军人才”证书;</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2.</w:t>
      </w:r>
      <w:r>
        <w:rPr>
          <w:rFonts w:hint="eastAsia"/>
          <w:color w:val="333333"/>
          <w:sz w:val="21"/>
          <w:szCs w:val="21"/>
        </w:rPr>
        <w:t>在财务、会计</w:t>
      </w:r>
      <w:r>
        <w:rPr>
          <w:rFonts w:hint="eastAsia" w:asciiTheme="minorEastAsia" w:hAnsiTheme="minorEastAsia" w:eastAsiaTheme="minorEastAsia"/>
          <w:color w:val="333333"/>
          <w:sz w:val="21"/>
          <w:szCs w:val="21"/>
        </w:rPr>
        <w:t>、金融</w:t>
      </w:r>
      <w:r>
        <w:rPr>
          <w:rFonts w:hint="eastAsia"/>
          <w:color w:val="333333"/>
          <w:sz w:val="21"/>
          <w:szCs w:val="21"/>
        </w:rPr>
        <w:t>等领域某个方面有前瞻性研究成果，对解决本专业疑难问题，发挥了关键性作用，经同行专家鉴定具有较大影响力并取得了明显效益，得到市级以上行业主管部门或大中型企业的书面认可;</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3.</w:t>
      </w:r>
      <w:r>
        <w:rPr>
          <w:rFonts w:hint="eastAsia"/>
          <w:color w:val="333333"/>
          <w:sz w:val="21"/>
          <w:szCs w:val="21"/>
        </w:rPr>
        <w:t>主持一个行业或一个大中型企业会计工作期间，有过会计方法创新或先进经验总结，被市级以上行业主管部门或大中型企业认可并予以推广;</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4.</w:t>
      </w:r>
      <w:r>
        <w:rPr>
          <w:rFonts w:hint="eastAsia"/>
          <w:color w:val="333333"/>
          <w:sz w:val="21"/>
          <w:szCs w:val="21"/>
        </w:rPr>
        <w:t>在管理会计建设和推广中发挥重要作用，取得显著成绩并得到省级财政部门认可;</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5.</w:t>
      </w:r>
      <w:r>
        <w:rPr>
          <w:rFonts w:hint="eastAsia"/>
          <w:color w:val="333333"/>
          <w:sz w:val="21"/>
          <w:szCs w:val="21"/>
        </w:rPr>
        <w:t>作为主要执笔人参与制定行业或大中型企业的会计核算制度、财务管理制度、会计操作规程或发展规划，经市级以上行业主管部门或大中型企业批准实施。须有市级以上行业主管部门或大中型企业的书面认可;</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6.</w:t>
      </w:r>
      <w:r>
        <w:rPr>
          <w:rFonts w:hint="eastAsia"/>
          <w:color w:val="333333"/>
          <w:sz w:val="21"/>
          <w:szCs w:val="21"/>
        </w:rPr>
        <w:t>在单位会计核算、财务管理、内部审计、内控制度建立、会计信息化工作中起到关键作用和具有创新性，通过起草会计方面文件、具体办法、管理建议书等提出建设性意见，被本单位采纳并实施，效果显著。须有本单位书面认可或提供证明显著效果的鉴定材料。</w:t>
      </w:r>
    </w:p>
    <w:p>
      <w:pPr>
        <w:pStyle w:val="14"/>
        <w:spacing w:before="0" w:beforeAutospacing="0" w:after="0" w:afterAutospacing="0" w:line="360" w:lineRule="auto"/>
        <w:ind w:firstLine="422" w:firstLineChars="200"/>
        <w:rPr>
          <w:rFonts w:asciiTheme="minorEastAsia" w:hAnsiTheme="minorEastAsia" w:eastAsiaTheme="minorEastAsia"/>
          <w:b/>
          <w:color w:val="333333"/>
          <w:sz w:val="21"/>
          <w:szCs w:val="21"/>
        </w:rPr>
      </w:pPr>
      <w:r>
        <w:rPr>
          <w:rFonts w:hint="eastAsia" w:asciiTheme="minorEastAsia" w:hAnsiTheme="minorEastAsia" w:eastAsiaTheme="minorEastAsia"/>
          <w:b/>
          <w:color w:val="333333"/>
          <w:sz w:val="21"/>
          <w:szCs w:val="21"/>
        </w:rPr>
        <w:t>对非正式学习成果认定的要求如下：</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1.非正式学习成果的内容必须与认定的专业培养目标或课程内容具有较大相关性。</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2.非正式学习成果认定需要提交能够证明成果的完善的支持材料。</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3.非正式学习成果最高可认定学分不超过专业总学分的20%。</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五、其他</w:t>
      </w:r>
    </w:p>
    <w:p>
      <w:pPr>
        <w:widowControl/>
        <w:shd w:val="clear" w:color="auto" w:fill="FFFFFF"/>
        <w:spacing w:line="360" w:lineRule="auto"/>
        <w:ind w:firstLine="525" w:firstLineChars="249"/>
        <w:jc w:val="left"/>
        <w:rPr>
          <w:rFonts w:cs="宋体" w:asciiTheme="minorEastAsia" w:hAnsiTheme="minorEastAsia"/>
          <w:color w:val="000000"/>
          <w:kern w:val="0"/>
          <w:szCs w:val="21"/>
        </w:rPr>
      </w:pPr>
      <w:r>
        <w:rPr>
          <w:rFonts w:hint="eastAsia" w:cs="宋体" w:asciiTheme="minorEastAsia" w:hAnsiTheme="minorEastAsia"/>
          <w:b/>
          <w:bCs/>
          <w:color w:val="000000"/>
          <w:kern w:val="0"/>
          <w:szCs w:val="21"/>
        </w:rPr>
        <w:t>(一)</w:t>
      </w:r>
      <w:r>
        <w:rPr>
          <w:rFonts w:hint="eastAsia" w:cs="宋体" w:asciiTheme="minorEastAsia" w:hAnsiTheme="minorEastAsia"/>
          <w:color w:val="000000"/>
          <w:kern w:val="0"/>
          <w:szCs w:val="21"/>
        </w:rPr>
        <w:t>依据《退役士兵安置条例》（国务院、中央军事委员会第</w:t>
      </w:r>
      <w:r>
        <w:rPr>
          <w:rFonts w:cs="Times New Roman" w:asciiTheme="minorEastAsia" w:hAnsiTheme="minorEastAsia"/>
          <w:color w:val="000000"/>
          <w:kern w:val="0"/>
          <w:szCs w:val="21"/>
        </w:rPr>
        <w:t>608</w:t>
      </w:r>
      <w:r>
        <w:rPr>
          <w:rFonts w:hint="eastAsia" w:cs="宋体" w:asciiTheme="minorEastAsia" w:hAnsiTheme="minorEastAsia"/>
          <w:color w:val="000000"/>
          <w:kern w:val="0"/>
          <w:szCs w:val="21"/>
        </w:rPr>
        <w:t>号）文件，退伍军人可申请免修公共体育、军事技能和军事理论课程，相应课程以</w:t>
      </w:r>
      <w:r>
        <w:rPr>
          <w:rFonts w:cs="Times New Roman" w:asciiTheme="minorEastAsia" w:hAnsiTheme="minorEastAsia"/>
          <w:color w:val="000000"/>
          <w:kern w:val="0"/>
          <w:szCs w:val="21"/>
        </w:rPr>
        <w:t>85</w:t>
      </w:r>
      <w:r>
        <w:rPr>
          <w:rFonts w:hint="eastAsia" w:cs="宋体" w:asciiTheme="minorEastAsia" w:hAnsiTheme="minorEastAsia"/>
          <w:color w:val="000000"/>
          <w:kern w:val="0"/>
          <w:szCs w:val="21"/>
        </w:rPr>
        <w:t>分记，并认定相应学分。</w:t>
      </w:r>
    </w:p>
    <w:p>
      <w:pPr>
        <w:widowControl/>
        <w:shd w:val="clear" w:color="auto" w:fill="FFFFFF"/>
        <w:spacing w:line="360" w:lineRule="auto"/>
        <w:ind w:firstLine="422" w:firstLineChars="200"/>
        <w:jc w:val="left"/>
        <w:rPr>
          <w:rFonts w:cs="宋体" w:asciiTheme="minorEastAsia" w:hAnsiTheme="minorEastAsia"/>
          <w:color w:val="000000"/>
          <w:kern w:val="0"/>
          <w:szCs w:val="21"/>
        </w:rPr>
      </w:pPr>
      <w:r>
        <w:rPr>
          <w:rFonts w:hint="eastAsia" w:cs="宋体" w:asciiTheme="minorEastAsia" w:hAnsiTheme="minorEastAsia"/>
          <w:b/>
          <w:bCs/>
          <w:color w:val="000000"/>
          <w:kern w:val="0"/>
          <w:szCs w:val="21"/>
        </w:rPr>
        <w:t>（二）</w:t>
      </w:r>
      <w:r>
        <w:rPr>
          <w:rFonts w:hint="eastAsia" w:cs="宋体" w:asciiTheme="minorEastAsia" w:hAnsiTheme="minorEastAsia"/>
          <w:color w:val="000000"/>
          <w:kern w:val="0"/>
          <w:szCs w:val="21"/>
        </w:rPr>
        <w:t>参加教学计划之外，由单位或社会组织的各种竞赛性、科研性、学术性、实践性活动所取得的证书。这些活动主要包括由县、市及省级以上部门组织，并经相关部门核准的重点技能、知识竞赛、科研训练、发明、专利、设计、科学研究等。</w:t>
      </w:r>
    </w:p>
    <w:p>
      <w:pPr>
        <w:widowControl/>
        <w:shd w:val="clear" w:color="auto" w:fill="FFFFFF"/>
        <w:spacing w:line="360" w:lineRule="auto"/>
        <w:ind w:firstLine="422" w:firstLineChars="200"/>
        <w:jc w:val="left"/>
        <w:rPr>
          <w:rFonts w:hint="eastAsia" w:cs="宋体" w:asciiTheme="minorEastAsia" w:hAnsiTheme="minorEastAsia"/>
          <w:color w:val="000000"/>
          <w:kern w:val="0"/>
          <w:szCs w:val="21"/>
        </w:rPr>
      </w:pPr>
      <w:r>
        <w:rPr>
          <w:rFonts w:hint="eastAsia" w:cs="宋体" w:asciiTheme="minorEastAsia" w:hAnsiTheme="minorEastAsia"/>
          <w:b/>
          <w:bCs/>
          <w:color w:val="000000"/>
          <w:kern w:val="0"/>
          <w:szCs w:val="21"/>
        </w:rPr>
        <w:t>（三）</w:t>
      </w:r>
      <w:r>
        <w:rPr>
          <w:rFonts w:hint="eastAsia" w:cs="宋体" w:asciiTheme="minorEastAsia" w:hAnsiTheme="minorEastAsia"/>
          <w:color w:val="000000"/>
          <w:kern w:val="0"/>
          <w:szCs w:val="21"/>
        </w:rPr>
        <w:t>经批准代表单位参加重大活动（抗洪救灾、体育比赛、文艺演出等），可以申请认定相应课程学分。主要指代表单位参加抗洪救灾、国家级文艺展演、体育比赛等大型活动。</w:t>
      </w:r>
    </w:p>
    <w:p>
      <w:pPr>
        <w:widowControl/>
        <w:shd w:val="clear" w:color="auto" w:fill="FFFFFF"/>
        <w:spacing w:line="360" w:lineRule="auto"/>
        <w:ind w:firstLine="420" w:firstLineChars="200"/>
        <w:jc w:val="left"/>
        <w:rPr>
          <w:rFonts w:hint="eastAsia" w:ascii="仿宋_GB2312" w:hAnsi="Times New Roman" w:eastAsia="仿宋_GB2312" w:cs="Times New Roman"/>
          <w:color w:val="000000"/>
          <w:spacing w:val="17"/>
          <w:kern w:val="0"/>
          <w:sz w:val="35"/>
          <w:szCs w:val="35"/>
        </w:rPr>
      </w:pPr>
      <w:r>
        <w:rPr>
          <w:rFonts w:hint="eastAsia" w:cs="宋体" w:asciiTheme="minorEastAsia" w:hAnsiTheme="minorEastAsia"/>
          <w:color w:val="000000"/>
          <w:kern w:val="0"/>
          <w:szCs w:val="21"/>
        </w:rPr>
        <w:t>说明:</w:t>
      </w:r>
      <w:r>
        <w:rPr>
          <w:rFonts w:hint="eastAsia" w:ascii="仿宋_GB2312" w:hAnsi="Times New Roman" w:eastAsia="仿宋_GB2312" w:cs="Times New Roman"/>
          <w:color w:val="000000"/>
          <w:spacing w:val="17"/>
          <w:kern w:val="0"/>
          <w:sz w:val="35"/>
          <w:szCs w:val="35"/>
        </w:rPr>
        <w:t xml:space="preserve"> </w:t>
      </w:r>
    </w:p>
    <w:p>
      <w:pPr>
        <w:widowControl/>
        <w:shd w:val="clear" w:color="auto" w:fill="FFFFFF"/>
        <w:spacing w:line="360" w:lineRule="auto"/>
        <w:ind w:firstLine="420" w:firstLineChars="200"/>
        <w:jc w:val="left"/>
        <w:rPr>
          <w:rFonts w:hint="eastAsia" w:cs="宋体" w:asciiTheme="minorEastAsia" w:hAnsiTheme="minorEastAsia"/>
          <w:color w:val="000000"/>
          <w:kern w:val="0"/>
          <w:szCs w:val="21"/>
        </w:rPr>
      </w:pPr>
      <w:r>
        <w:rPr>
          <w:rFonts w:hint="eastAsia" w:cs="宋体" w:asciiTheme="minorEastAsia" w:hAnsiTheme="minorEastAsia"/>
          <w:color w:val="000000"/>
          <w:kern w:val="0"/>
          <w:szCs w:val="21"/>
        </w:rPr>
        <w:t>1.其他课程不能替换为专业核心课,实践课程与理论课程之间不能相互替换。</w:t>
      </w:r>
    </w:p>
    <w:p>
      <w:pPr>
        <w:widowControl/>
        <w:shd w:val="clear" w:color="auto" w:fill="FFFFFF"/>
        <w:spacing w:line="360" w:lineRule="auto"/>
        <w:ind w:firstLine="420" w:firstLineChars="200"/>
        <w:jc w:val="left"/>
        <w:rPr>
          <w:rFonts w:hint="eastAsia" w:cs="宋体" w:asciiTheme="minorEastAsia" w:hAnsiTheme="minorEastAsia"/>
          <w:color w:val="000000"/>
          <w:kern w:val="0"/>
          <w:szCs w:val="21"/>
        </w:rPr>
      </w:pPr>
      <w:r>
        <w:rPr>
          <w:rFonts w:hint="eastAsia" w:cs="宋体" w:asciiTheme="minorEastAsia" w:hAnsiTheme="minorEastAsia"/>
          <w:color w:val="000000"/>
          <w:kern w:val="0"/>
          <w:szCs w:val="21"/>
        </w:rPr>
        <w:t>2.除学生函授、自考、网络课程等有明确成绩记载的情况外，其他原因进行课程替换和学分认定的，总评成绩计为“合格”。</w:t>
      </w:r>
    </w:p>
    <w:p>
      <w:pPr>
        <w:widowControl/>
        <w:shd w:val="clear" w:color="auto" w:fill="FFFFFF"/>
        <w:spacing w:line="360" w:lineRule="auto"/>
        <w:ind w:firstLine="420" w:firstLineChars="200"/>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3. 替换认定不及格课程的，成绩计为重修成绩60分。</w:t>
      </w:r>
    </w:p>
    <w:p>
      <w:pPr>
        <w:widowControl/>
        <w:shd w:val="clear" w:color="auto" w:fill="FFFFFF"/>
        <w:spacing w:line="360" w:lineRule="auto"/>
        <w:ind w:firstLine="420" w:firstLineChars="200"/>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4. 学生提交的申请材料，应当真实可靠。对弄虚作假者，一经查实，取消该所替换课程成绩和认定的学分，不再受理其任何替换和认定申请，情节严重的按学校相关规定进行处理。</w:t>
      </w:r>
    </w:p>
    <w:p>
      <w:pPr>
        <w:widowControl/>
        <w:shd w:val="clear" w:color="auto" w:fill="FFFFFF"/>
        <w:spacing w:line="360" w:lineRule="auto"/>
        <w:ind w:firstLine="420" w:firstLineChars="200"/>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5. 有下列情况之一的不予以课程替换或学分认定：</w:t>
      </w:r>
    </w:p>
    <w:p>
      <w:pPr>
        <w:widowControl/>
        <w:shd w:val="clear" w:color="auto" w:fill="FFFFFF"/>
        <w:spacing w:line="360" w:lineRule="auto"/>
        <w:ind w:firstLine="420" w:firstLineChars="200"/>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（1）未经学校相关部门认可的项目、成果等；</w:t>
      </w:r>
    </w:p>
    <w:p>
      <w:pPr>
        <w:widowControl/>
        <w:shd w:val="clear" w:color="auto" w:fill="FFFFFF"/>
        <w:spacing w:line="360" w:lineRule="auto"/>
        <w:ind w:firstLine="420" w:firstLineChars="200"/>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（2）非法出版物刊登的文章或作品；</w:t>
      </w:r>
    </w:p>
    <w:p>
      <w:pPr>
        <w:widowControl/>
        <w:shd w:val="clear" w:color="auto" w:fill="FFFFFF"/>
        <w:spacing w:line="360" w:lineRule="auto"/>
        <w:ind w:firstLine="420" w:firstLineChars="200"/>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（3）提供的材料不齐全或弄虚作假；</w:t>
      </w:r>
    </w:p>
    <w:p>
      <w:pPr>
        <w:pStyle w:val="14"/>
        <w:shd w:val="clear" w:color="auto" w:fill="FFFFFF"/>
        <w:spacing w:before="0" w:beforeAutospacing="0" w:after="0" w:afterAutospacing="0" w:line="360" w:lineRule="auto"/>
        <w:ind w:firstLine="480" w:firstLineChars="200"/>
        <w:rPr>
          <w:rFonts w:hint="eastAsia" w:asciiTheme="minorEastAsia" w:hAnsiTheme="minorEastAsia" w:eastAsiaTheme="minorEastAsia"/>
          <w:color w:val="000000"/>
          <w:sz w:val="21"/>
          <w:szCs w:val="21"/>
        </w:rPr>
      </w:pPr>
      <w:r>
        <w:rPr>
          <w:rFonts w:hint="eastAsia" w:asciiTheme="minorEastAsia" w:hAnsiTheme="minorEastAsia"/>
          <w:color w:val="000000"/>
          <w:szCs w:val="21"/>
        </w:rPr>
        <w:t>（4）</w:t>
      </w:r>
      <w:r>
        <w:rPr>
          <w:rFonts w:hint="eastAsia" w:asciiTheme="minorEastAsia" w:hAnsiTheme="minorEastAsia" w:eastAsiaTheme="minorEastAsia"/>
          <w:color w:val="000000"/>
          <w:sz w:val="21"/>
          <w:szCs w:val="21"/>
        </w:rPr>
        <w:t>未在学校规定时间内办理的。</w:t>
      </w:r>
    </w:p>
    <w:p>
      <w:pPr>
        <w:pStyle w:val="14"/>
        <w:shd w:val="clear" w:color="auto" w:fill="FFFFFF"/>
        <w:spacing w:before="0" w:beforeAutospacing="0" w:after="0" w:afterAutospacing="0" w:line="360" w:lineRule="auto"/>
        <w:ind w:firstLine="420" w:firstLineChars="200"/>
        <w:rPr>
          <w:rFonts w:hint="eastAsia" w:cs="Arial" w:asciiTheme="minorEastAsia" w:hAnsiTheme="minorEastAsia" w:eastAsiaTheme="minorEastAsia"/>
          <w:color w:val="333333"/>
          <w:sz w:val="21"/>
          <w:szCs w:val="21"/>
        </w:rPr>
      </w:pPr>
      <w:r>
        <w:rPr>
          <w:rFonts w:hint="eastAsia" w:cs="Arial" w:asciiTheme="minorEastAsia" w:hAnsiTheme="minorEastAsia" w:eastAsiaTheme="minorEastAsia"/>
          <w:color w:val="333333"/>
          <w:sz w:val="21"/>
          <w:szCs w:val="21"/>
        </w:rPr>
        <w:t>6.</w:t>
      </w:r>
      <w:r>
        <w:rPr>
          <w:rFonts w:hint="eastAsia" w:asciiTheme="minorEastAsia" w:hAnsiTheme="minorEastAsia" w:eastAsiaTheme="minorEastAsia"/>
          <w:color w:val="000000"/>
          <w:sz w:val="21"/>
          <w:szCs w:val="21"/>
        </w:rPr>
        <w:t>学分认定、积累和转换工作每学</w:t>
      </w:r>
      <w:r>
        <w:rPr>
          <w:rFonts w:hint="eastAsia" w:cs="Arial" w:asciiTheme="minorEastAsia" w:hAnsiTheme="minorEastAsia" w:eastAsiaTheme="minorEastAsia"/>
          <w:color w:val="333333"/>
          <w:sz w:val="21"/>
          <w:szCs w:val="21"/>
        </w:rPr>
        <w:t>期进行一次，在每个学期的考查周报送相关材料。</w:t>
      </w:r>
    </w:p>
    <w:p>
      <w:pPr>
        <w:widowControl/>
        <w:shd w:val="clear" w:color="auto" w:fill="FFFFFF"/>
        <w:spacing w:line="360" w:lineRule="auto"/>
        <w:ind w:firstLine="420" w:firstLineChars="200"/>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备注:本办法自公布之日起实行，由教务处负责解释。</w:t>
      </w:r>
    </w:p>
    <w:p>
      <w:pPr>
        <w:spacing w:line="360" w:lineRule="auto"/>
        <w:ind w:firstLine="422" w:firstLineChars="200"/>
        <w:jc w:val="left"/>
        <w:rPr>
          <w:rStyle w:val="16"/>
          <w:rFonts w:cs="Arial" w:asciiTheme="minorEastAsia" w:hAnsiTheme="minorEastAsia"/>
          <w:color w:val="191919"/>
          <w:szCs w:val="21"/>
          <w:shd w:val="clear" w:color="auto" w:fill="FFFFFF"/>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hint="eastAsia" w:cs="Times New Roman" w:asciiTheme="minorEastAsia" w:hAnsiTheme="minorEastAsia"/>
          <w:szCs w:val="21"/>
        </w:rPr>
      </w:pPr>
    </w:p>
    <w:p>
      <w:pPr>
        <w:spacing w:line="360" w:lineRule="auto"/>
        <w:ind w:firstLine="420" w:firstLineChars="200"/>
        <w:jc w:val="left"/>
        <w:rPr>
          <w:rFonts w:hint="eastAsia" w:cs="Times New Roman" w:asciiTheme="minorEastAsia" w:hAnsiTheme="minorEastAsia"/>
          <w:szCs w:val="21"/>
        </w:rPr>
      </w:pPr>
    </w:p>
    <w:p>
      <w:pPr>
        <w:spacing w:line="360" w:lineRule="auto"/>
        <w:ind w:firstLine="420" w:firstLineChars="200"/>
        <w:jc w:val="left"/>
        <w:rPr>
          <w:rFonts w:hint="eastAsia" w:cs="Times New Roman" w:asciiTheme="minorEastAsia" w:hAnsiTheme="minorEastAsia"/>
          <w:szCs w:val="21"/>
        </w:rPr>
      </w:pPr>
    </w:p>
    <w:p>
      <w:pPr>
        <w:spacing w:line="360" w:lineRule="auto"/>
        <w:ind w:firstLine="420" w:firstLineChars="200"/>
        <w:jc w:val="left"/>
        <w:rPr>
          <w:rFonts w:hint="eastAsia" w:cs="Times New Roman" w:asciiTheme="minorEastAsia" w:hAnsiTheme="minorEastAsia"/>
          <w:szCs w:val="21"/>
        </w:rPr>
      </w:pPr>
    </w:p>
    <w:p>
      <w:pPr>
        <w:spacing w:line="360" w:lineRule="auto"/>
        <w:ind w:firstLine="420" w:firstLineChars="200"/>
        <w:jc w:val="left"/>
        <w:rPr>
          <w:rFonts w:hint="eastAsia" w:cs="Times New Roman" w:asciiTheme="minorEastAsia" w:hAnsiTheme="minorEastAsia"/>
          <w:szCs w:val="21"/>
        </w:rPr>
      </w:pPr>
    </w:p>
    <w:p>
      <w:pPr>
        <w:spacing w:line="240" w:lineRule="atLeast"/>
        <w:rPr>
          <w:rFonts w:ascii="宋体" w:hAnsi="Calibri" w:eastAsia="宋体" w:cs="Times New Roman"/>
          <w:sz w:val="24"/>
        </w:rPr>
      </w:pPr>
      <w:r>
        <w:rPr>
          <w:rFonts w:ascii="宋体" w:hAnsi="Calibri" w:eastAsia="宋体" w:cs="Times New Roman"/>
          <w:sz w:val="24"/>
        </w:rPr>
        <w:br w:type="page"/>
      </w:r>
    </w:p>
    <w:p>
      <w:pPr>
        <w:spacing w:line="240" w:lineRule="atLeast"/>
        <w:rPr>
          <w:rFonts w:ascii="宋体" w:hAnsi="Calibri" w:eastAsia="宋体" w:cs="Times New Roman"/>
          <w:sz w:val="24"/>
        </w:rPr>
      </w:pPr>
      <w:r>
        <w:rPr>
          <w:rFonts w:ascii="宋体" w:hAnsi="Calibri" w:eastAsia="宋体" w:cs="Times New Roman"/>
          <w:sz w:val="24"/>
        </w:rPr>
        <w:t>附</w:t>
      </w:r>
    </w:p>
    <w:p>
      <w:pPr>
        <w:spacing w:line="240" w:lineRule="atLeast"/>
        <w:jc w:val="center"/>
        <w:rPr>
          <w:rFonts w:ascii="宋体" w:hAnsi="Calibri" w:eastAsia="宋体" w:cs="Times New Roman"/>
          <w:sz w:val="44"/>
          <w:szCs w:val="44"/>
        </w:rPr>
      </w:pPr>
      <w:r>
        <w:rPr>
          <w:rFonts w:ascii="宋体" w:hAnsi="Calibri" w:eastAsia="宋体" w:cs="Times New Roman"/>
          <w:sz w:val="44"/>
          <w:szCs w:val="44"/>
        </w:rPr>
        <w:t>转换学分申请书</w:t>
      </w:r>
    </w:p>
    <w:tbl>
      <w:tblPr>
        <w:tblStyle w:val="18"/>
        <w:tblW w:w="8973" w:type="dxa"/>
        <w:jc w:val="center"/>
        <w:tblInd w:w="0" w:type="dxa"/>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shd w:val="clear" w:color="auto" w:fill="F8F8F8"/>
        <w:tblLayout w:type="fixed"/>
        <w:tblCellMar>
          <w:top w:w="0" w:type="dxa"/>
          <w:left w:w="0" w:type="dxa"/>
          <w:bottom w:w="0" w:type="dxa"/>
          <w:right w:w="0" w:type="dxa"/>
        </w:tblCellMar>
      </w:tblPr>
      <w:tblGrid>
        <w:gridCol w:w="1519"/>
        <w:gridCol w:w="109"/>
        <w:gridCol w:w="1397"/>
        <w:gridCol w:w="1345"/>
        <w:gridCol w:w="130"/>
        <w:gridCol w:w="1506"/>
        <w:gridCol w:w="210"/>
        <w:gridCol w:w="1011"/>
        <w:gridCol w:w="474"/>
        <w:gridCol w:w="1272"/>
      </w:tblGrid>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shd w:val="clear" w:color="auto" w:fill="F8F8F8"/>
          <w:tblLayout w:type="fixed"/>
          <w:tblCellMar>
            <w:top w:w="0" w:type="dxa"/>
            <w:left w:w="0" w:type="dxa"/>
            <w:bottom w:w="0" w:type="dxa"/>
            <w:right w:w="0" w:type="dxa"/>
          </w:tblCellMar>
        </w:tblPrEx>
        <w:trPr>
          <w:trHeight w:val="721" w:hRule="atLeast"/>
          <w:jc w:val="center"/>
        </w:trPr>
        <w:tc>
          <w:tcPr>
            <w:tcW w:w="1628" w:type="dxa"/>
            <w:gridSpan w:val="2"/>
            <w:tcBorders>
              <w:top w:val="single" w:color="auto" w:sz="6" w:space="0"/>
              <w:left w:val="single" w:color="auto" w:sz="6" w:space="0"/>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学号</w:t>
            </w:r>
          </w:p>
        </w:tc>
        <w:tc>
          <w:tcPr>
            <w:tcW w:w="1397" w:type="dxa"/>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1345" w:type="dxa"/>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姓名</w:t>
            </w:r>
          </w:p>
        </w:tc>
        <w:tc>
          <w:tcPr>
            <w:tcW w:w="1636" w:type="dxa"/>
            <w:gridSpan w:val="2"/>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1695" w:type="dxa"/>
            <w:gridSpan w:val="3"/>
            <w:tcBorders>
              <w:top w:val="single" w:color="auto" w:sz="6" w:space="0"/>
              <w:left w:val="nil"/>
              <w:bottom w:val="single" w:color="auto" w:sz="6" w:space="0"/>
              <w:right w:val="single" w:color="auto" w:sz="6" w:space="0"/>
            </w:tcBorders>
            <w:shd w:val="clear" w:color="auto" w:fill="F0FFFF"/>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班级</w:t>
            </w:r>
          </w:p>
        </w:tc>
        <w:tc>
          <w:tcPr>
            <w:tcW w:w="1272" w:type="dxa"/>
            <w:tcBorders>
              <w:top w:val="single" w:color="auto" w:sz="6" w:space="0"/>
              <w:left w:val="nil"/>
              <w:bottom w:val="single" w:color="auto" w:sz="6" w:space="0"/>
              <w:right w:val="single" w:color="auto" w:sz="6" w:space="0"/>
            </w:tcBorders>
            <w:shd w:val="clear" w:color="auto" w:fill="F0FFFF"/>
            <w:vAlign w:val="center"/>
          </w:tcPr>
          <w:p>
            <w:pPr>
              <w:spacing w:line="240" w:lineRule="atLeast"/>
              <w:jc w:val="center"/>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628"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所属</w:t>
            </w:r>
            <w:r>
              <w:rPr>
                <w:rFonts w:hint="eastAsia" w:ascii="宋体" w:hAnsi="Calibri" w:eastAsia="宋体" w:cs="Times New Roman"/>
                <w:szCs w:val="21"/>
              </w:rPr>
              <w:t>系部</w:t>
            </w:r>
          </w:p>
        </w:tc>
        <w:tc>
          <w:tcPr>
            <w:tcW w:w="2742"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2857"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所属专业</w:t>
            </w:r>
          </w:p>
        </w:tc>
        <w:tc>
          <w:tcPr>
            <w:tcW w:w="1746"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628"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拟转换学分</w:t>
            </w:r>
          </w:p>
        </w:tc>
        <w:tc>
          <w:tcPr>
            <w:tcW w:w="2742"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2857"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拟转换成绩</w:t>
            </w:r>
          </w:p>
        </w:tc>
        <w:tc>
          <w:tcPr>
            <w:tcW w:w="1746"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628"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拟转换课程</w:t>
            </w:r>
          </w:p>
        </w:tc>
        <w:tc>
          <w:tcPr>
            <w:tcW w:w="7345"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628"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申请理由</w:t>
            </w:r>
          </w:p>
        </w:tc>
        <w:tc>
          <w:tcPr>
            <w:tcW w:w="7345"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p>
            <w:pPr>
              <w:spacing w:line="240" w:lineRule="atLeast"/>
              <w:rPr>
                <w:rFonts w:hint="eastAsia" w:ascii="宋体" w:hAnsi="Calibri" w:eastAsia="宋体" w:cs="Times New Roman"/>
                <w:szCs w:val="21"/>
              </w:rPr>
            </w:pPr>
          </w:p>
          <w:p>
            <w:pPr>
              <w:spacing w:line="240" w:lineRule="atLeast"/>
              <w:rPr>
                <w:rFonts w:hint="eastAsia" w:ascii="宋体" w:hAnsi="Calibri" w:eastAsia="宋体" w:cs="Times New Roman"/>
                <w:szCs w:val="21"/>
              </w:rPr>
            </w:pPr>
          </w:p>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628"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有关证明</w:t>
            </w:r>
          </w:p>
          <w:p>
            <w:pPr>
              <w:spacing w:line="240" w:lineRule="atLeast"/>
              <w:rPr>
                <w:rFonts w:ascii="宋体" w:hAnsi="Calibri" w:eastAsia="宋体" w:cs="Times New Roman"/>
                <w:szCs w:val="21"/>
              </w:rPr>
            </w:pPr>
            <w:r>
              <w:rPr>
                <w:rFonts w:ascii="宋体" w:hAnsi="Calibri" w:eastAsia="宋体" w:cs="Times New Roman"/>
                <w:szCs w:val="21"/>
              </w:rPr>
              <w:t>材料目录</w:t>
            </w:r>
          </w:p>
        </w:tc>
        <w:tc>
          <w:tcPr>
            <w:tcW w:w="7345"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hint="eastAsia" w:ascii="宋体" w:hAnsi="Calibri" w:eastAsia="宋体" w:cs="Times New Roman"/>
                <w:szCs w:val="21"/>
              </w:rPr>
            </w:pPr>
          </w:p>
          <w:p>
            <w:pPr>
              <w:spacing w:line="240" w:lineRule="atLeast"/>
              <w:rPr>
                <w:rFonts w:hint="eastAsia" w:ascii="宋体" w:hAnsi="Calibri" w:eastAsia="宋体" w:cs="Times New Roman"/>
                <w:szCs w:val="21"/>
              </w:rPr>
            </w:pPr>
          </w:p>
          <w:p>
            <w:pPr>
              <w:spacing w:line="240" w:lineRule="atLeast"/>
              <w:rPr>
                <w:rFonts w:hint="eastAsia" w:ascii="宋体" w:hAnsi="Calibri" w:eastAsia="宋体" w:cs="Times New Roman"/>
                <w:szCs w:val="21"/>
              </w:rPr>
            </w:pPr>
          </w:p>
          <w:p>
            <w:pPr>
              <w:spacing w:line="240" w:lineRule="atLeast"/>
              <w:rPr>
                <w:rFonts w:hint="eastAsia" w:ascii="宋体" w:hAnsi="Calibri" w:eastAsia="宋体" w:cs="Times New Roman"/>
                <w:szCs w:val="21"/>
              </w:rPr>
            </w:pPr>
          </w:p>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8973"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以上内容由学生填写</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519" w:type="dxa"/>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转换学分</w:t>
            </w:r>
          </w:p>
        </w:tc>
        <w:tc>
          <w:tcPr>
            <w:tcW w:w="2981"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c>
          <w:tcPr>
            <w:tcW w:w="1716"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认定学分</w:t>
            </w:r>
          </w:p>
        </w:tc>
        <w:tc>
          <w:tcPr>
            <w:tcW w:w="2757" w:type="dxa"/>
            <w:gridSpan w:val="3"/>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1519" w:type="dxa"/>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转换课程</w:t>
            </w:r>
          </w:p>
        </w:tc>
        <w:tc>
          <w:tcPr>
            <w:tcW w:w="2981"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c>
          <w:tcPr>
            <w:tcW w:w="1716"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转换成绩</w:t>
            </w:r>
          </w:p>
        </w:tc>
        <w:tc>
          <w:tcPr>
            <w:tcW w:w="2757" w:type="dxa"/>
            <w:gridSpan w:val="3"/>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8973"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转换课程教师意见：</w:t>
            </w:r>
          </w:p>
          <w:p>
            <w:pPr>
              <w:spacing w:line="240" w:lineRule="atLeast"/>
              <w:rPr>
                <w:rFonts w:ascii="宋体" w:hAnsi="Calibri" w:eastAsia="宋体" w:cs="Times New Roman"/>
                <w:szCs w:val="21"/>
              </w:rPr>
            </w:pPr>
            <w:r>
              <w:rPr>
                <w:rFonts w:ascii="宋体" w:hAnsi="Calibri" w:eastAsia="宋体" w:cs="Times New Roman"/>
                <w:szCs w:val="21"/>
              </w:rPr>
              <w:t> </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hint="eastAsia" w:ascii="宋体" w:hAnsi="Calibri" w:eastAsia="宋体" w:cs="Times New Roman"/>
                <w:szCs w:val="21"/>
              </w:rPr>
              <w:t xml:space="preserve">                                        </w:t>
            </w:r>
            <w:r>
              <w:rPr>
                <w:rFonts w:ascii="宋体" w:hAnsi="Calibri" w:eastAsia="宋体" w:cs="Times New Roman"/>
                <w:szCs w:val="21"/>
              </w:rPr>
              <w:t>签字：                         年 </w:t>
            </w:r>
            <w:r>
              <w:rPr>
                <w:rFonts w:hint="eastAsia" w:ascii="宋体" w:hAnsi="Calibri" w:eastAsia="宋体" w:cs="Times New Roman"/>
                <w:szCs w:val="21"/>
              </w:rPr>
              <w:t xml:space="preserve">   </w:t>
            </w:r>
            <w:r>
              <w:rPr>
                <w:rFonts w:ascii="宋体" w:hAnsi="Calibri" w:eastAsia="宋体" w:cs="Times New Roman"/>
                <w:szCs w:val="21"/>
              </w:rPr>
              <w:t xml:space="preserve"> 月 </w:t>
            </w:r>
            <w:r>
              <w:rPr>
                <w:rFonts w:hint="eastAsia" w:ascii="宋体" w:hAnsi="Calibri" w:eastAsia="宋体" w:cs="Times New Roman"/>
                <w:szCs w:val="21"/>
              </w:rPr>
              <w:t xml:space="preserve">   </w:t>
            </w:r>
            <w:r>
              <w:rPr>
                <w:rFonts w:ascii="宋体" w:hAnsi="Calibri" w:eastAsia="宋体" w:cs="Times New Roman"/>
                <w:szCs w:val="21"/>
              </w:rPr>
              <w:t xml:space="preserve"> 日</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721" w:hRule="atLeast"/>
          <w:jc w:val="center"/>
        </w:trPr>
        <w:tc>
          <w:tcPr>
            <w:tcW w:w="8973"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hint="eastAsia" w:ascii="宋体" w:hAnsi="Calibri" w:eastAsia="宋体" w:cs="Times New Roman"/>
                <w:szCs w:val="21"/>
              </w:rPr>
              <w:t>系部</w:t>
            </w:r>
            <w:r>
              <w:rPr>
                <w:rFonts w:ascii="宋体" w:hAnsi="Calibri" w:eastAsia="宋体" w:cs="Times New Roman"/>
                <w:szCs w:val="21"/>
              </w:rPr>
              <w:t>审定意见：</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hint="eastAsia" w:ascii="宋体" w:hAnsi="Calibri" w:eastAsia="宋体" w:cs="Times New Roman"/>
                <w:szCs w:val="21"/>
              </w:rPr>
            </w:pPr>
            <w:r>
              <w:rPr>
                <w:rFonts w:hint="eastAsia" w:ascii="宋体" w:hAnsi="Calibri" w:eastAsia="宋体" w:cs="Times New Roman"/>
                <w:szCs w:val="21"/>
              </w:rPr>
              <w:t xml:space="preserve">                                     </w:t>
            </w:r>
            <w:r>
              <w:rPr>
                <w:rFonts w:ascii="宋体" w:hAnsi="Calibri" w:eastAsia="宋体" w:cs="Times New Roman"/>
                <w:szCs w:val="21"/>
              </w:rPr>
              <w:t xml:space="preserve">签名：               （公章）  </w:t>
            </w:r>
            <w:r>
              <w:rPr>
                <w:rFonts w:hint="eastAsia" w:ascii="宋体" w:hAnsi="Calibri" w:eastAsia="宋体" w:cs="Times New Roman"/>
                <w:szCs w:val="21"/>
              </w:rPr>
              <w:t xml:space="preserve">   </w:t>
            </w:r>
            <w:r>
              <w:rPr>
                <w:rFonts w:ascii="宋体" w:hAnsi="Calibri" w:eastAsia="宋体" w:cs="Times New Roman"/>
                <w:szCs w:val="21"/>
              </w:rPr>
              <w:t>年 </w:t>
            </w:r>
            <w:r>
              <w:rPr>
                <w:rFonts w:hint="eastAsia" w:ascii="宋体" w:hAnsi="Calibri" w:eastAsia="宋体" w:cs="Times New Roman"/>
                <w:szCs w:val="21"/>
              </w:rPr>
              <w:t xml:space="preserve">  </w:t>
            </w:r>
            <w:r>
              <w:rPr>
                <w:rFonts w:ascii="宋体" w:hAnsi="Calibri" w:eastAsia="宋体" w:cs="Times New Roman"/>
                <w:szCs w:val="21"/>
              </w:rPr>
              <w:t xml:space="preserve"> 月  </w:t>
            </w:r>
            <w:r>
              <w:rPr>
                <w:rFonts w:hint="eastAsia" w:ascii="宋体" w:hAnsi="Calibri" w:eastAsia="宋体" w:cs="Times New Roman"/>
                <w:szCs w:val="21"/>
              </w:rPr>
              <w:t xml:space="preserve">  </w:t>
            </w:r>
            <w:r>
              <w:rPr>
                <w:rFonts w:ascii="宋体" w:hAnsi="Calibri" w:eastAsia="宋体" w:cs="Times New Roman"/>
                <w:szCs w:val="21"/>
              </w:rPr>
              <w:t>日</w:t>
            </w:r>
          </w:p>
        </w:tc>
      </w:tr>
    </w:tbl>
    <w:p>
      <w:pPr>
        <w:spacing w:line="240" w:lineRule="atLeast"/>
        <w:jc w:val="left"/>
        <w:rPr>
          <w:rFonts w:ascii="宋体" w:hAnsi="Calibri" w:eastAsia="宋体" w:cs="Times New Roman"/>
          <w:szCs w:val="21"/>
        </w:rPr>
      </w:pPr>
      <w:r>
        <w:rPr>
          <w:rFonts w:ascii="宋体" w:hAnsi="Calibri" w:eastAsia="宋体" w:cs="Times New Roman"/>
          <w:szCs w:val="21"/>
        </w:rPr>
        <w:t>注：1.此表一式三份，学生本人、学生所属</w:t>
      </w:r>
      <w:r>
        <w:rPr>
          <w:rFonts w:hint="eastAsia" w:ascii="宋体" w:hAnsi="Calibri" w:eastAsia="宋体" w:cs="Times New Roman"/>
          <w:szCs w:val="21"/>
        </w:rPr>
        <w:t>系</w:t>
      </w:r>
      <w:r>
        <w:rPr>
          <w:rFonts w:ascii="宋体" w:hAnsi="Calibri" w:eastAsia="宋体" w:cs="Times New Roman"/>
          <w:szCs w:val="21"/>
        </w:rPr>
        <w:t>部</w:t>
      </w:r>
      <w:r>
        <w:rPr>
          <w:rFonts w:hint="eastAsia" w:ascii="宋体" w:hAnsi="Calibri" w:eastAsia="宋体" w:cs="Times New Roman"/>
          <w:szCs w:val="21"/>
        </w:rPr>
        <w:t>（存档）</w:t>
      </w:r>
      <w:r>
        <w:rPr>
          <w:rFonts w:ascii="宋体" w:hAnsi="Calibri" w:eastAsia="宋体" w:cs="Times New Roman"/>
          <w:szCs w:val="21"/>
        </w:rPr>
        <w:t>、任课教师各一份（作为成绩依据上交</w:t>
      </w:r>
      <w:r>
        <w:rPr>
          <w:rFonts w:hint="eastAsia" w:ascii="宋体" w:hAnsi="Calibri" w:eastAsia="宋体" w:cs="Times New Roman"/>
          <w:szCs w:val="21"/>
        </w:rPr>
        <w:t>教务处）</w:t>
      </w:r>
      <w:r>
        <w:rPr>
          <w:rFonts w:ascii="宋体" w:hAnsi="Calibri" w:eastAsia="宋体" w:cs="Times New Roman"/>
          <w:szCs w:val="21"/>
        </w:rPr>
        <w:t>。</w:t>
      </w:r>
    </w:p>
    <w:p>
      <w:pPr>
        <w:spacing w:line="240" w:lineRule="atLeast"/>
        <w:jc w:val="left"/>
        <w:rPr>
          <w:rFonts w:ascii="宋体" w:hAnsi="Calibri" w:eastAsia="宋体" w:cs="Times New Roman"/>
          <w:szCs w:val="21"/>
        </w:rPr>
      </w:pPr>
      <w:r>
        <w:rPr>
          <w:rFonts w:ascii="宋体" w:hAnsi="Calibri" w:eastAsia="宋体" w:cs="Times New Roman"/>
          <w:szCs w:val="21"/>
        </w:rPr>
        <w:t>2.除本申请书外，须提供转换学分实施细则及申请转换学分支撑材料。</w:t>
      </w:r>
    </w:p>
    <w:p>
      <w:pPr>
        <w:jc w:val="left"/>
        <w:rPr>
          <w:szCs w:val="21"/>
        </w:rPr>
      </w:pPr>
    </w:p>
    <w:p>
      <w:pPr>
        <w:spacing w:line="360" w:lineRule="auto"/>
      </w:pPr>
    </w:p>
    <w:p>
      <w:r>
        <w:br w:type="page"/>
      </w:r>
    </w:p>
    <w:p>
      <w:pPr>
        <w:spacing w:line="360" w:lineRule="auto"/>
        <w:rPr>
          <w:rFonts w:hint="eastAsia"/>
          <w:b/>
          <w:bCs/>
          <w:lang w:val="en-US" w:eastAsia="zh-CN"/>
        </w:rPr>
      </w:pPr>
      <w:r>
        <w:rPr>
          <w:rFonts w:hint="eastAsia"/>
          <w:b/>
          <w:bCs/>
          <w:lang w:eastAsia="zh-CN"/>
        </w:rPr>
        <w:t>附件</w:t>
      </w:r>
      <w:r>
        <w:rPr>
          <w:rFonts w:hint="eastAsia"/>
          <w:b/>
          <w:bCs/>
          <w:lang w:val="en-US" w:eastAsia="zh-CN"/>
        </w:rPr>
        <w:t>3:</w:t>
      </w:r>
    </w:p>
    <w:p>
      <w:pPr>
        <w:jc w:val="center"/>
        <w:rPr>
          <w:rFonts w:asciiTheme="minorEastAsia" w:hAnsiTheme="minorEastAsia" w:eastAsiaTheme="minorEastAsia"/>
          <w:b/>
          <w:bCs/>
          <w:sz w:val="32"/>
          <w:szCs w:val="32"/>
        </w:rPr>
      </w:pPr>
      <w:bookmarkStart w:id="66" w:name="_GoBack"/>
      <w:r>
        <w:rPr>
          <w:rFonts w:hint="eastAsia" w:asciiTheme="minorEastAsia" w:hAnsiTheme="minorEastAsia" w:eastAsiaTheme="minorEastAsia"/>
          <w:b/>
          <w:bCs/>
          <w:sz w:val="32"/>
          <w:szCs w:val="32"/>
        </w:rPr>
        <w:t>山西管理职业学院扩招学生教育教学管理办法</w:t>
      </w:r>
    </w:p>
    <w:bookmarkEnd w:id="66"/>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一、专门管理机构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学院成立扩招学生管理领导机构。主任由院长担任，副主任由分管副院长担任,成员由职能处室负责人和各系部主任组成。全面负责扩招学生教育教学管理工作。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二、课程标准制定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系部根据学院颁行的《关于制定课程标准的原则意见》执行，制定各专业课程标准。课程标准要包含课程名称（含独立设置的实践性教学环节）、适用专业、制订依据及指导思想、课程性质、设计思路、课程目标、课程内容和要求、课时分配、课程重点和难点、主要教学活动安排、考核评价标准和方法、课程资源的开发与利用、学习参考书目、其它说明等部分组成。</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三、教学组织管理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（一）教学组织</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根据扩招社会生源特点，结合学院实际，实行弹性学制、弹性学期和弹性学时的学分制管理。采取“工学交替-节假日集中教学”“线上和线下相结合”“校企协同育人-送教上门教学”等三种教学模式。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1.工学交替-节假日集中教学模式：主要针对专业课和专业基础课。利用周末或节假期间在校集中授课，集中授课时数严格按照培养方案规定和要求，确保授课的系统性和完整性。各系要安排好课表与教师，同时做好学生监管，确保教学质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线上线下相结合教学模式：主要针对公共基础课。依托学院网络课程平台的优质课程进行线上学习与辅导，同时利用节假日或工休进行线下理论教学和技能集训，线下集中授课和集训时数不得少于培养方案规定时数。线上教学以“智慧树”和“智学堂”提供的学习平台为主；线下教师负责平时答疑、作业布置与批改、期末考试与成绩评定等工作。鼓励各系部教师利用“智学堂”平台建设网络课程资源和课程。</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校企协同育人-送教上门教学模式：主要针对专业课和专业实训课。深化校企合作，推行校企资源共享、过程共管、人才共育，与合作企业共同为学生上门集中授课或组织技能训练，根据岗位编班分组，授课时间与企业共同协商，集中教学时数严格按照培养方案规定时数执行，确保理论教学和实践环节的系统性和完整性。各系要与企业做好对接，采用企业兼职教师与校内专任教师相结合的模式进行教学。</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（二）成绩管理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1.对各专业扩招学生进行编班管理，并按修订的扩招人员各专业人才培养方案，开足开满各门课程，同时统一录入教务管理系统，便于管理。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2.每门课程无论何种教学模式，均需安排一名校内教师作为此门课程的授课教师或是辅导教师，承担本门课程的教学管理和成绩评定工作。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3.无论哪种教学方式，课程考核均采用集中考试方式进行，严格考试要求和考核标准。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4.成绩实行院系二级管理。期末课程考试成绩由任课教师录入成绩管理系统存档。</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5.成绩不合格的学生参加学院每学期第三周组织的补考，学生必须返校参加考试。成绩由任课教师录入成绩管理系统存档。      </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四、实践教学管理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扩招学生实践性教学，实践性教学学时应占总学时数50%以上。各系结合专业实际，制订合理制度，将社会人员的实际工作、技能证书和相关培训等纳入实践环节,折算成学历教育中对应课程的学分进行学分替换。</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顶岗实习时间一般为6个月。各系制定顶岗实习管理办法，在保证顶岗实习质量的前提下，将社会人员的实际工作纳入实践环节，完成规定的顶岗实习学习任务，可折算成学历教育相应学分。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每位学生互换的总学分一般不超过本专业总学分的二分之一。</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五、师资队伍管理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校企合作，建立一支由学校教师与行业企业专家组成的专兼职教学团队，强化专业师资队伍。由系部选派一批师德高尚、责任心强的专业教师担任扩招学生教学任务。行业企业聘任的兼职教师必须具有中级以上职业技术职务，一些高技术的能工巧匠必须具有高级工职业资格证书。</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校定期对教师进行培训、由系部选派教师定期到企业实践锻炼，强化“双师型”教师队伍建设。鼓励各专业积极建立项目式、模块化教学需要的教学创新团队，积极推动教师教育理念、教学观念、教学内容、教学方法、教学评价的变革，不断增强实践教学的能力。</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六．教学质量检查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为确保扩招学生人才培养的质量，保证标准不降。</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（一）构建学院、系部二级教学质量监督体系。</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采取系部常规化教学检查与教学院随机检查相结合的方式进行，教务处、系部应及时公布检查结果并反馈教师本人改进教学中的问题。</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（二）定期对教学工作进行专项检查。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在每学期期初、期中、期末定期对任课教师教学工作进行专项检查，重点检查任课教师的教学文件：教师学期授课进度计划表、教师工作手册、教案、学期工作总结等。</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（三）加强对重点教学环节的检查。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围绕重点教学环节，诸如扩招学生学情分析、学生作业批改、考试命题、学生学习成绩的认定及录入等环节进行督导检查。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（四）强化对课堂教学环节的检查。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学院听课管理办法，积极发挥同行、院系领导、职能部门在课堂教学环节中的督导检查作用，各专业团队、专业带头人、院系领导、职能部门负责人要根据听课管理办法深入教学一线、深入课堂，及时对课堂教学效果进行评价并反馈给任课教师。</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（五）充分发挥优质网络教学平台质量监控的作用。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通过智慧树、智学堂等优质网络教学平台，充分发挥平台在学生学习进度、知识测评、在线考试等环节的监测作用。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七、质量监控评价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（一）建立由学生、社会、学校和教师等共同参与的评价机制。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在评价的主体上，针对社会生源调动学生主动参与评价的积极性，改变评价主体的单一性，实现评价主体的多元化，建立由学生、社会、学校和教师等共同参与的评价机制。</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依托教务管理平台，构建系部（主任）测评、教学督导测评、教师同行测评、学生测评四位一体的线上教学质量测评实施体系。每学期期末，利用教学管理系统教学评价模块，对教师教学质量进行线上测评。</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八、学籍管理规定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生按照《普通高等学校学生管理规定》、《山西管理学院学生学籍管理制度》等相关学籍管理规定办理入学注册及在校学籍管理。扩招学生在学习期间不得转学、转专业，在规定年限内（最高不超过6年），修完教育教学计划规定内容，成绩合格，达到我院毕业要求的，方可颁发全日制（专科）毕业证书。</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2020.4.10.</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textAlignment w:val="auto"/>
        <w:rPr>
          <w:rFonts w:ascii="宋体" w:hAnsi="宋体" w:eastAsia="宋体" w:cs="宋体"/>
          <w:b/>
          <w:bCs/>
          <w:sz w:val="32"/>
          <w:szCs w:val="32"/>
        </w:rPr>
      </w:pPr>
      <w:r>
        <w:rPr>
          <w:rFonts w:hint="eastAsia" w:ascii="宋体" w:hAnsi="宋体" w:eastAsia="宋体" w:cs="宋体"/>
          <w:sz w:val="32"/>
          <w:szCs w:val="32"/>
        </w:rPr>
        <w:t xml:space="preserve">                    </w:t>
      </w:r>
    </w:p>
    <w:p>
      <w:pPr>
        <w:spacing w:line="580" w:lineRule="exact"/>
        <w:ind w:firstLine="640" w:firstLineChars="200"/>
        <w:rPr>
          <w:rFonts w:ascii="宋体" w:hAnsi="宋体" w:eastAsia="宋体" w:cs="宋体"/>
          <w:sz w:val="32"/>
          <w:szCs w:val="32"/>
        </w:rPr>
      </w:pPr>
    </w:p>
    <w:p>
      <w:pPr>
        <w:spacing w:line="360" w:lineRule="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Segoe UI">
    <w:panose1 w:val="020B0502040204020203"/>
    <w:charset w:val="00"/>
    <w:family w:val="auto"/>
    <w:pitch w:val="default"/>
    <w:sig w:usb0="E10022FF" w:usb1="C000E47F" w:usb2="00000029" w:usb3="00000000" w:csb0="200001DF" w:csb1="2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EE07E9"/>
    <w:multiLevelType w:val="singleLevel"/>
    <w:tmpl w:val="8EEE07E9"/>
    <w:lvl w:ilvl="0" w:tentative="0">
      <w:start w:val="6"/>
      <w:numFmt w:val="decimal"/>
      <w:lvlText w:val="%1."/>
      <w:lvlJc w:val="left"/>
      <w:pPr>
        <w:tabs>
          <w:tab w:val="left" w:pos="312"/>
        </w:tabs>
      </w:pPr>
    </w:lvl>
  </w:abstractNum>
  <w:abstractNum w:abstractNumId="1">
    <w:nsid w:val="D9B69855"/>
    <w:multiLevelType w:val="singleLevel"/>
    <w:tmpl w:val="D9B69855"/>
    <w:lvl w:ilvl="0" w:tentative="0">
      <w:start w:val="1"/>
      <w:numFmt w:val="upperLetter"/>
      <w:lvlText w:val="%1."/>
      <w:lvlJc w:val="left"/>
      <w:pPr>
        <w:tabs>
          <w:tab w:val="left" w:pos="312"/>
        </w:tabs>
      </w:pPr>
    </w:lvl>
  </w:abstractNum>
  <w:abstractNum w:abstractNumId="2">
    <w:nsid w:val="3C0D7206"/>
    <w:multiLevelType w:val="singleLevel"/>
    <w:tmpl w:val="3C0D7206"/>
    <w:lvl w:ilvl="0" w:tentative="0">
      <w:start w:val="1"/>
      <w:numFmt w:val="decimal"/>
      <w:lvlText w:val="%1."/>
      <w:lvlJc w:val="left"/>
      <w:pPr>
        <w:tabs>
          <w:tab w:val="left" w:pos="312"/>
        </w:tabs>
      </w:pPr>
    </w:lvl>
  </w:abstractNum>
  <w:abstractNum w:abstractNumId="3">
    <w:nsid w:val="57CBA970"/>
    <w:multiLevelType w:val="singleLevel"/>
    <w:tmpl w:val="57CBA970"/>
    <w:lvl w:ilvl="0" w:tentative="0">
      <w:start w:val="1"/>
      <w:numFmt w:val="decimal"/>
      <w:suff w:val="nothing"/>
      <w:lvlText w:val="%1."/>
      <w:lvlJc w:val="left"/>
    </w:lvl>
  </w:abstractNum>
  <w:abstractNum w:abstractNumId="4">
    <w:nsid w:val="57CBEF83"/>
    <w:multiLevelType w:val="singleLevel"/>
    <w:tmpl w:val="57CBEF83"/>
    <w:lvl w:ilvl="0" w:tentative="0">
      <w:start w:val="1"/>
      <w:numFmt w:val="decimal"/>
      <w:suff w:val="nothing"/>
      <w:lvlText w:val="%1."/>
      <w:lvlJc w:val="left"/>
    </w:lvl>
  </w:abstractNum>
  <w:abstractNum w:abstractNumId="5">
    <w:nsid w:val="57CBF180"/>
    <w:multiLevelType w:val="singleLevel"/>
    <w:tmpl w:val="57CBF180"/>
    <w:lvl w:ilvl="0" w:tentative="0">
      <w:start w:val="1"/>
      <w:numFmt w:val="bullet"/>
      <w:lvlText w:val=""/>
      <w:lvlJc w:val="left"/>
      <w:pPr>
        <w:ind w:left="420" w:hanging="420"/>
      </w:pPr>
      <w:rPr>
        <w:rFonts w:hint="default" w:ascii="Wingdings" w:hAnsi="Wingdings"/>
      </w:rPr>
    </w:lvl>
  </w:abstractNum>
  <w:abstractNum w:abstractNumId="6">
    <w:nsid w:val="57CBF221"/>
    <w:multiLevelType w:val="singleLevel"/>
    <w:tmpl w:val="57CBF221"/>
    <w:lvl w:ilvl="0" w:tentative="0">
      <w:start w:val="1"/>
      <w:numFmt w:val="bullet"/>
      <w:lvlText w:val=""/>
      <w:lvlJc w:val="left"/>
      <w:pPr>
        <w:ind w:left="420" w:hanging="420"/>
      </w:pPr>
      <w:rPr>
        <w:rFonts w:hint="default" w:ascii="Wingdings" w:hAnsi="Wingdings"/>
      </w:rPr>
    </w:lvl>
  </w:abstractNum>
  <w:num w:numId="1">
    <w:abstractNumId w:val="0"/>
  </w:num>
  <w:num w:numId="2">
    <w:abstractNumId w:val="3"/>
  </w:num>
  <w:num w:numId="3">
    <w:abstractNumId w:val="5"/>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E6FB2"/>
    <w:rsid w:val="00005B60"/>
    <w:rsid w:val="00006112"/>
    <w:rsid w:val="0000692B"/>
    <w:rsid w:val="0001366B"/>
    <w:rsid w:val="00021D1B"/>
    <w:rsid w:val="0002570C"/>
    <w:rsid w:val="00034AC2"/>
    <w:rsid w:val="000352D3"/>
    <w:rsid w:val="00035CD4"/>
    <w:rsid w:val="00036344"/>
    <w:rsid w:val="0004518A"/>
    <w:rsid w:val="000626A2"/>
    <w:rsid w:val="000667F3"/>
    <w:rsid w:val="0008221A"/>
    <w:rsid w:val="00083DD1"/>
    <w:rsid w:val="00085089"/>
    <w:rsid w:val="00091D11"/>
    <w:rsid w:val="00094C4B"/>
    <w:rsid w:val="00096909"/>
    <w:rsid w:val="000B7EA3"/>
    <w:rsid w:val="000C0288"/>
    <w:rsid w:val="000C2026"/>
    <w:rsid w:val="000D1496"/>
    <w:rsid w:val="000D25D7"/>
    <w:rsid w:val="000D6C3E"/>
    <w:rsid w:val="001332E6"/>
    <w:rsid w:val="00135764"/>
    <w:rsid w:val="00141E1C"/>
    <w:rsid w:val="001432E2"/>
    <w:rsid w:val="001433A9"/>
    <w:rsid w:val="00154890"/>
    <w:rsid w:val="00183A9A"/>
    <w:rsid w:val="001A11E6"/>
    <w:rsid w:val="001A1DAC"/>
    <w:rsid w:val="001A228A"/>
    <w:rsid w:val="001A6D8B"/>
    <w:rsid w:val="001B4A36"/>
    <w:rsid w:val="001C5207"/>
    <w:rsid w:val="001E45E5"/>
    <w:rsid w:val="001E79E3"/>
    <w:rsid w:val="00201F36"/>
    <w:rsid w:val="00220E6A"/>
    <w:rsid w:val="00222D94"/>
    <w:rsid w:val="002254BE"/>
    <w:rsid w:val="00243B73"/>
    <w:rsid w:val="002A7727"/>
    <w:rsid w:val="002D3C24"/>
    <w:rsid w:val="002E70C5"/>
    <w:rsid w:val="002F368E"/>
    <w:rsid w:val="002F5487"/>
    <w:rsid w:val="0030008D"/>
    <w:rsid w:val="00334580"/>
    <w:rsid w:val="00341EE8"/>
    <w:rsid w:val="00347906"/>
    <w:rsid w:val="00365F92"/>
    <w:rsid w:val="003662A6"/>
    <w:rsid w:val="003667C7"/>
    <w:rsid w:val="003675A6"/>
    <w:rsid w:val="003954E8"/>
    <w:rsid w:val="003954F7"/>
    <w:rsid w:val="003B4653"/>
    <w:rsid w:val="003B617D"/>
    <w:rsid w:val="003C5509"/>
    <w:rsid w:val="003D0D62"/>
    <w:rsid w:val="003D33A1"/>
    <w:rsid w:val="003D68D0"/>
    <w:rsid w:val="003D785D"/>
    <w:rsid w:val="004008F8"/>
    <w:rsid w:val="004019E1"/>
    <w:rsid w:val="00402611"/>
    <w:rsid w:val="0041364D"/>
    <w:rsid w:val="00413926"/>
    <w:rsid w:val="0041493B"/>
    <w:rsid w:val="00415D8D"/>
    <w:rsid w:val="00435AA1"/>
    <w:rsid w:val="00435B74"/>
    <w:rsid w:val="00440A3F"/>
    <w:rsid w:val="00463E24"/>
    <w:rsid w:val="004653E5"/>
    <w:rsid w:val="00476297"/>
    <w:rsid w:val="004902E7"/>
    <w:rsid w:val="00491226"/>
    <w:rsid w:val="00493AD8"/>
    <w:rsid w:val="004966CA"/>
    <w:rsid w:val="004B257D"/>
    <w:rsid w:val="004B4323"/>
    <w:rsid w:val="004C5F01"/>
    <w:rsid w:val="004D1E05"/>
    <w:rsid w:val="004D39BE"/>
    <w:rsid w:val="004E5BA6"/>
    <w:rsid w:val="004E6FB2"/>
    <w:rsid w:val="004F1259"/>
    <w:rsid w:val="004F7EE6"/>
    <w:rsid w:val="005045A6"/>
    <w:rsid w:val="005208B8"/>
    <w:rsid w:val="0052378E"/>
    <w:rsid w:val="00554082"/>
    <w:rsid w:val="00555D63"/>
    <w:rsid w:val="00557DD6"/>
    <w:rsid w:val="005812F6"/>
    <w:rsid w:val="005930DB"/>
    <w:rsid w:val="005A02A6"/>
    <w:rsid w:val="005A7AB4"/>
    <w:rsid w:val="005B086B"/>
    <w:rsid w:val="005B609D"/>
    <w:rsid w:val="005C1E6D"/>
    <w:rsid w:val="005C3AAA"/>
    <w:rsid w:val="005C67B4"/>
    <w:rsid w:val="005D00CB"/>
    <w:rsid w:val="005E5895"/>
    <w:rsid w:val="005F7891"/>
    <w:rsid w:val="00601EE0"/>
    <w:rsid w:val="00602932"/>
    <w:rsid w:val="006075E8"/>
    <w:rsid w:val="006132E7"/>
    <w:rsid w:val="0061546E"/>
    <w:rsid w:val="00617D9C"/>
    <w:rsid w:val="00657F87"/>
    <w:rsid w:val="0068730B"/>
    <w:rsid w:val="0069473A"/>
    <w:rsid w:val="006A0141"/>
    <w:rsid w:val="006B7761"/>
    <w:rsid w:val="006C5FE3"/>
    <w:rsid w:val="006C6C22"/>
    <w:rsid w:val="006D15A2"/>
    <w:rsid w:val="006E33E0"/>
    <w:rsid w:val="006F25F2"/>
    <w:rsid w:val="007140C3"/>
    <w:rsid w:val="0073030C"/>
    <w:rsid w:val="00732C38"/>
    <w:rsid w:val="007452ED"/>
    <w:rsid w:val="00752271"/>
    <w:rsid w:val="00753056"/>
    <w:rsid w:val="00755C32"/>
    <w:rsid w:val="00777A61"/>
    <w:rsid w:val="00781B4A"/>
    <w:rsid w:val="00781EE3"/>
    <w:rsid w:val="00795F74"/>
    <w:rsid w:val="007B3FB9"/>
    <w:rsid w:val="007C2CBC"/>
    <w:rsid w:val="007C4BAE"/>
    <w:rsid w:val="007C4C49"/>
    <w:rsid w:val="007D3F5A"/>
    <w:rsid w:val="007D4899"/>
    <w:rsid w:val="007E0FAD"/>
    <w:rsid w:val="007E2AB0"/>
    <w:rsid w:val="007F6E44"/>
    <w:rsid w:val="00801379"/>
    <w:rsid w:val="00804EA3"/>
    <w:rsid w:val="00807852"/>
    <w:rsid w:val="008154D7"/>
    <w:rsid w:val="0082703A"/>
    <w:rsid w:val="00850100"/>
    <w:rsid w:val="00892392"/>
    <w:rsid w:val="008A3206"/>
    <w:rsid w:val="008A5C16"/>
    <w:rsid w:val="008B5C65"/>
    <w:rsid w:val="008C488E"/>
    <w:rsid w:val="008C712F"/>
    <w:rsid w:val="008C7D47"/>
    <w:rsid w:val="008D34C3"/>
    <w:rsid w:val="008E33BC"/>
    <w:rsid w:val="008F1C22"/>
    <w:rsid w:val="008F289A"/>
    <w:rsid w:val="008F6043"/>
    <w:rsid w:val="008F7966"/>
    <w:rsid w:val="0091638C"/>
    <w:rsid w:val="009311E0"/>
    <w:rsid w:val="0094731B"/>
    <w:rsid w:val="009614F1"/>
    <w:rsid w:val="00972656"/>
    <w:rsid w:val="009920A5"/>
    <w:rsid w:val="009A3062"/>
    <w:rsid w:val="009B7D9F"/>
    <w:rsid w:val="009E3C57"/>
    <w:rsid w:val="009E7C75"/>
    <w:rsid w:val="009E7FE8"/>
    <w:rsid w:val="009F4F74"/>
    <w:rsid w:val="00A24963"/>
    <w:rsid w:val="00A47D57"/>
    <w:rsid w:val="00A60E4B"/>
    <w:rsid w:val="00A66455"/>
    <w:rsid w:val="00A6693C"/>
    <w:rsid w:val="00A7310D"/>
    <w:rsid w:val="00AA0546"/>
    <w:rsid w:val="00AA0C73"/>
    <w:rsid w:val="00AA0F49"/>
    <w:rsid w:val="00AA4405"/>
    <w:rsid w:val="00AC3AA3"/>
    <w:rsid w:val="00AD0ACB"/>
    <w:rsid w:val="00B024C9"/>
    <w:rsid w:val="00B0418D"/>
    <w:rsid w:val="00B37B4E"/>
    <w:rsid w:val="00B43AA6"/>
    <w:rsid w:val="00B468ED"/>
    <w:rsid w:val="00B53D50"/>
    <w:rsid w:val="00B77E05"/>
    <w:rsid w:val="00B833AC"/>
    <w:rsid w:val="00B95001"/>
    <w:rsid w:val="00BC0B8B"/>
    <w:rsid w:val="00BC7A92"/>
    <w:rsid w:val="00BD1519"/>
    <w:rsid w:val="00BD4BC1"/>
    <w:rsid w:val="00BD674F"/>
    <w:rsid w:val="00BF0C6B"/>
    <w:rsid w:val="00BF72F7"/>
    <w:rsid w:val="00BF7FAC"/>
    <w:rsid w:val="00C020B1"/>
    <w:rsid w:val="00C33F49"/>
    <w:rsid w:val="00C347DD"/>
    <w:rsid w:val="00C40D25"/>
    <w:rsid w:val="00C426F0"/>
    <w:rsid w:val="00C577CD"/>
    <w:rsid w:val="00C604E3"/>
    <w:rsid w:val="00C72DEE"/>
    <w:rsid w:val="00C74F59"/>
    <w:rsid w:val="00C80C24"/>
    <w:rsid w:val="00CB240E"/>
    <w:rsid w:val="00CC585F"/>
    <w:rsid w:val="00CE1DBC"/>
    <w:rsid w:val="00CE25FB"/>
    <w:rsid w:val="00CF1D54"/>
    <w:rsid w:val="00D02EDE"/>
    <w:rsid w:val="00D22FF8"/>
    <w:rsid w:val="00D371D4"/>
    <w:rsid w:val="00D4181C"/>
    <w:rsid w:val="00D5213A"/>
    <w:rsid w:val="00D53126"/>
    <w:rsid w:val="00D54323"/>
    <w:rsid w:val="00D55D03"/>
    <w:rsid w:val="00D64D57"/>
    <w:rsid w:val="00D846A2"/>
    <w:rsid w:val="00D865BC"/>
    <w:rsid w:val="00D93194"/>
    <w:rsid w:val="00DB3127"/>
    <w:rsid w:val="00DE105E"/>
    <w:rsid w:val="00DF0002"/>
    <w:rsid w:val="00E14420"/>
    <w:rsid w:val="00E15A78"/>
    <w:rsid w:val="00E31702"/>
    <w:rsid w:val="00E32B1B"/>
    <w:rsid w:val="00E537C4"/>
    <w:rsid w:val="00E6354F"/>
    <w:rsid w:val="00E671C4"/>
    <w:rsid w:val="00E81106"/>
    <w:rsid w:val="00E96580"/>
    <w:rsid w:val="00EA693E"/>
    <w:rsid w:val="00ED2B81"/>
    <w:rsid w:val="00ED7BC8"/>
    <w:rsid w:val="00EE0485"/>
    <w:rsid w:val="00EE490A"/>
    <w:rsid w:val="00EE5D45"/>
    <w:rsid w:val="00EF0A0A"/>
    <w:rsid w:val="00EF61D4"/>
    <w:rsid w:val="00F41416"/>
    <w:rsid w:val="00F42467"/>
    <w:rsid w:val="00F44E28"/>
    <w:rsid w:val="00F47B24"/>
    <w:rsid w:val="00F55C3C"/>
    <w:rsid w:val="00F60B5E"/>
    <w:rsid w:val="00F72D76"/>
    <w:rsid w:val="00F753FF"/>
    <w:rsid w:val="00F75E89"/>
    <w:rsid w:val="00F8349D"/>
    <w:rsid w:val="00F849F8"/>
    <w:rsid w:val="00F961F0"/>
    <w:rsid w:val="00FA2D59"/>
    <w:rsid w:val="00FA48CE"/>
    <w:rsid w:val="00FC48A7"/>
    <w:rsid w:val="00FC5BFF"/>
    <w:rsid w:val="00FD0A00"/>
    <w:rsid w:val="027241EC"/>
    <w:rsid w:val="03C97011"/>
    <w:rsid w:val="06953BE8"/>
    <w:rsid w:val="06E92238"/>
    <w:rsid w:val="09BC7E9D"/>
    <w:rsid w:val="0B5F74FB"/>
    <w:rsid w:val="0C4251FB"/>
    <w:rsid w:val="0CD04988"/>
    <w:rsid w:val="0EEA6788"/>
    <w:rsid w:val="10037C16"/>
    <w:rsid w:val="11B8319A"/>
    <w:rsid w:val="11D71E0D"/>
    <w:rsid w:val="11FE70A6"/>
    <w:rsid w:val="153347D2"/>
    <w:rsid w:val="187168AD"/>
    <w:rsid w:val="1C467FC8"/>
    <w:rsid w:val="217F1852"/>
    <w:rsid w:val="21E566D2"/>
    <w:rsid w:val="24567A8A"/>
    <w:rsid w:val="2A2B1F6E"/>
    <w:rsid w:val="2A590671"/>
    <w:rsid w:val="2A7826F8"/>
    <w:rsid w:val="2CEA4679"/>
    <w:rsid w:val="31172134"/>
    <w:rsid w:val="32860BE4"/>
    <w:rsid w:val="33CE407C"/>
    <w:rsid w:val="33D24288"/>
    <w:rsid w:val="3551651B"/>
    <w:rsid w:val="360C6A48"/>
    <w:rsid w:val="37B65D82"/>
    <w:rsid w:val="381D1797"/>
    <w:rsid w:val="39BD55AA"/>
    <w:rsid w:val="3A4614CD"/>
    <w:rsid w:val="3B983EE9"/>
    <w:rsid w:val="3BE5149A"/>
    <w:rsid w:val="3E166174"/>
    <w:rsid w:val="43D36728"/>
    <w:rsid w:val="4685676D"/>
    <w:rsid w:val="483A0AC2"/>
    <w:rsid w:val="4B2B3D52"/>
    <w:rsid w:val="4B7774AC"/>
    <w:rsid w:val="4BB73D36"/>
    <w:rsid w:val="4DA20920"/>
    <w:rsid w:val="4F0B2484"/>
    <w:rsid w:val="54176566"/>
    <w:rsid w:val="56A53816"/>
    <w:rsid w:val="57553540"/>
    <w:rsid w:val="577C647A"/>
    <w:rsid w:val="592D57AD"/>
    <w:rsid w:val="5A0420B4"/>
    <w:rsid w:val="5AE3689F"/>
    <w:rsid w:val="5C542F62"/>
    <w:rsid w:val="5FC41913"/>
    <w:rsid w:val="6293352A"/>
    <w:rsid w:val="67245758"/>
    <w:rsid w:val="6732123E"/>
    <w:rsid w:val="68734AB8"/>
    <w:rsid w:val="68D22721"/>
    <w:rsid w:val="69921184"/>
    <w:rsid w:val="6D137D9E"/>
    <w:rsid w:val="719F3291"/>
    <w:rsid w:val="72D2170B"/>
    <w:rsid w:val="72D23901"/>
    <w:rsid w:val="74ED3DA8"/>
    <w:rsid w:val="76A24732"/>
    <w:rsid w:val="770879E8"/>
    <w:rsid w:val="77506F95"/>
    <w:rsid w:val="7AED1AEB"/>
    <w:rsid w:val="7AF44BE9"/>
    <w:rsid w:val="7D1F6286"/>
    <w:rsid w:val="7D2830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21"/>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2"/>
    <w:semiHidden/>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5"/>
    <w:qFormat/>
    <w:uiPriority w:val="0"/>
    <w:pPr>
      <w:spacing w:after="120"/>
    </w:pPr>
    <w:rPr>
      <w:rFonts w:ascii="Times New Roman" w:hAnsi="Times New Roman"/>
      <w:szCs w:val="24"/>
    </w:rPr>
  </w:style>
  <w:style w:type="paragraph" w:styleId="6">
    <w:name w:val="Body Text Indent"/>
    <w:basedOn w:val="1"/>
    <w:link w:val="26"/>
    <w:qFormat/>
    <w:uiPriority w:val="0"/>
    <w:pPr>
      <w:spacing w:line="340" w:lineRule="exact"/>
      <w:ind w:firstLine="420" w:firstLineChars="200"/>
    </w:pPr>
    <w:rPr>
      <w:rFonts w:ascii="Times New Roman" w:hAnsi="Times New Roman"/>
      <w:szCs w:val="24"/>
    </w:rPr>
  </w:style>
  <w:style w:type="paragraph" w:styleId="7">
    <w:name w:val="Plain Text"/>
    <w:basedOn w:val="1"/>
    <w:link w:val="27"/>
    <w:unhideWhenUsed/>
    <w:qFormat/>
    <w:uiPriority w:val="99"/>
    <w:pPr>
      <w:widowControl/>
      <w:spacing w:before="100" w:beforeAutospacing="1" w:after="100" w:afterAutospacing="1" w:line="360" w:lineRule="auto"/>
      <w:jc w:val="left"/>
    </w:pPr>
    <w:rPr>
      <w:rFonts w:ascii="宋体" w:hAnsi="宋体" w:cs="宋体"/>
      <w:kern w:val="0"/>
      <w:sz w:val="24"/>
      <w:szCs w:val="24"/>
    </w:rPr>
  </w:style>
  <w:style w:type="paragraph" w:styleId="8">
    <w:name w:val="Date"/>
    <w:basedOn w:val="1"/>
    <w:next w:val="1"/>
    <w:link w:val="28"/>
    <w:semiHidden/>
    <w:qFormat/>
    <w:uiPriority w:val="99"/>
    <w:pPr>
      <w:ind w:left="100" w:leftChars="2500"/>
    </w:pPr>
  </w:style>
  <w:style w:type="paragraph" w:styleId="9">
    <w:name w:val="Balloon Text"/>
    <w:basedOn w:val="1"/>
    <w:link w:val="29"/>
    <w:qFormat/>
    <w:uiPriority w:val="0"/>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tabs>
        <w:tab w:val="right" w:leader="dot" w:pos="8682"/>
      </w:tabs>
      <w:spacing w:line="360" w:lineRule="auto"/>
    </w:pPr>
    <w:rPr>
      <w:rFonts w:ascii="Times New Roman" w:hAnsi="Times New Roman"/>
      <w:szCs w:val="24"/>
    </w:rPr>
  </w:style>
  <w:style w:type="paragraph" w:styleId="13">
    <w:name w:val="toc 2"/>
    <w:basedOn w:val="1"/>
    <w:next w:val="1"/>
    <w:qFormat/>
    <w:uiPriority w:val="0"/>
    <w:pPr>
      <w:ind w:left="420" w:leftChars="200"/>
    </w:pPr>
    <w:rPr>
      <w:rFonts w:ascii="Times New Roman" w:hAnsi="Times New Roman"/>
      <w:szCs w:val="24"/>
    </w:rPr>
  </w:style>
  <w:style w:type="paragraph" w:styleId="14">
    <w:name w:val="Normal (Web)"/>
    <w:basedOn w:val="1"/>
    <w:qFormat/>
    <w:uiPriority w:val="0"/>
    <w:pPr>
      <w:widowControl/>
      <w:spacing w:before="100" w:beforeAutospacing="1" w:after="100" w:afterAutospacing="1"/>
      <w:jc w:val="left"/>
    </w:pPr>
    <w:rPr>
      <w:rFonts w:hint="eastAsia" w:ascii="宋体" w:hAnsi="宋体"/>
      <w:kern w:val="0"/>
      <w:sz w:val="24"/>
      <w:szCs w:val="24"/>
    </w:rPr>
  </w:style>
  <w:style w:type="character" w:styleId="16">
    <w:name w:val="Strong"/>
    <w:basedOn w:val="15"/>
    <w:qFormat/>
    <w:uiPriority w:val="22"/>
    <w:rPr>
      <w:b/>
      <w:bCs/>
    </w:rPr>
  </w:style>
  <w:style w:type="character" w:styleId="17">
    <w:name w:val="Hyperlink"/>
    <w:basedOn w:val="15"/>
    <w:unhideWhenUsed/>
    <w:qFormat/>
    <w:uiPriority w:val="99"/>
    <w:rPr>
      <w:color w:val="005CD9"/>
      <w:u w:val="none"/>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0">
    <w:name w:val="标题 1 Char"/>
    <w:basedOn w:val="15"/>
    <w:link w:val="2"/>
    <w:qFormat/>
    <w:uiPriority w:val="0"/>
    <w:rPr>
      <w:rFonts w:ascii="Times New Roman" w:hAnsi="Times New Roman" w:eastAsia="宋体" w:cs="Times New Roman"/>
      <w:b/>
      <w:bCs/>
      <w:kern w:val="44"/>
      <w:sz w:val="44"/>
      <w:szCs w:val="44"/>
    </w:rPr>
  </w:style>
  <w:style w:type="character" w:customStyle="1" w:styleId="21">
    <w:name w:val="标题 2 Char"/>
    <w:basedOn w:val="15"/>
    <w:link w:val="3"/>
    <w:qFormat/>
    <w:uiPriority w:val="0"/>
    <w:rPr>
      <w:rFonts w:ascii="Arial" w:hAnsi="Arial" w:eastAsia="黑体" w:cs="Times New Roman"/>
      <w:b/>
      <w:bCs/>
      <w:sz w:val="32"/>
      <w:szCs w:val="32"/>
    </w:rPr>
  </w:style>
  <w:style w:type="character" w:customStyle="1" w:styleId="22">
    <w:name w:val="标题 3 Char"/>
    <w:basedOn w:val="15"/>
    <w:link w:val="4"/>
    <w:semiHidden/>
    <w:qFormat/>
    <w:uiPriority w:val="9"/>
    <w:rPr>
      <w:rFonts w:ascii="Calibri" w:hAnsi="Calibri" w:eastAsia="宋体" w:cs="Times New Roman"/>
      <w:b/>
      <w:bCs/>
      <w:sz w:val="32"/>
      <w:szCs w:val="32"/>
    </w:rPr>
  </w:style>
  <w:style w:type="character" w:customStyle="1" w:styleId="23">
    <w:name w:val="页眉 Char"/>
    <w:basedOn w:val="15"/>
    <w:link w:val="11"/>
    <w:semiHidden/>
    <w:qFormat/>
    <w:uiPriority w:val="99"/>
    <w:rPr>
      <w:sz w:val="18"/>
      <w:szCs w:val="18"/>
    </w:rPr>
  </w:style>
  <w:style w:type="character" w:customStyle="1" w:styleId="24">
    <w:name w:val="页脚 Char"/>
    <w:basedOn w:val="15"/>
    <w:link w:val="10"/>
    <w:qFormat/>
    <w:uiPriority w:val="99"/>
    <w:rPr>
      <w:sz w:val="18"/>
      <w:szCs w:val="18"/>
    </w:rPr>
  </w:style>
  <w:style w:type="character" w:customStyle="1" w:styleId="25">
    <w:name w:val="正文文本 Char"/>
    <w:basedOn w:val="15"/>
    <w:link w:val="5"/>
    <w:qFormat/>
    <w:uiPriority w:val="0"/>
    <w:rPr>
      <w:rFonts w:ascii="Times New Roman" w:hAnsi="Times New Roman" w:eastAsia="宋体" w:cs="Times New Roman"/>
      <w:szCs w:val="24"/>
    </w:rPr>
  </w:style>
  <w:style w:type="character" w:customStyle="1" w:styleId="26">
    <w:name w:val="正文文本缩进 Char"/>
    <w:basedOn w:val="15"/>
    <w:link w:val="6"/>
    <w:qFormat/>
    <w:uiPriority w:val="0"/>
    <w:rPr>
      <w:rFonts w:ascii="Times New Roman" w:hAnsi="Times New Roman" w:eastAsia="宋体" w:cs="Times New Roman"/>
      <w:szCs w:val="24"/>
    </w:rPr>
  </w:style>
  <w:style w:type="character" w:customStyle="1" w:styleId="27">
    <w:name w:val="纯文本 Char"/>
    <w:basedOn w:val="15"/>
    <w:link w:val="7"/>
    <w:qFormat/>
    <w:uiPriority w:val="99"/>
    <w:rPr>
      <w:rFonts w:ascii="宋体" w:hAnsi="宋体" w:eastAsia="宋体" w:cs="宋体"/>
      <w:kern w:val="0"/>
      <w:sz w:val="24"/>
      <w:szCs w:val="24"/>
    </w:rPr>
  </w:style>
  <w:style w:type="character" w:customStyle="1" w:styleId="28">
    <w:name w:val="日期 Char"/>
    <w:basedOn w:val="15"/>
    <w:link w:val="8"/>
    <w:semiHidden/>
    <w:qFormat/>
    <w:uiPriority w:val="99"/>
    <w:rPr>
      <w:rFonts w:ascii="Calibri" w:hAnsi="Calibri" w:eastAsia="宋体" w:cs="Times New Roman"/>
    </w:rPr>
  </w:style>
  <w:style w:type="character" w:customStyle="1" w:styleId="29">
    <w:name w:val="批注框文本 Char"/>
    <w:basedOn w:val="15"/>
    <w:link w:val="9"/>
    <w:qFormat/>
    <w:uiPriority w:val="0"/>
    <w:rPr>
      <w:rFonts w:ascii="Calibri" w:hAnsi="Calibri" w:eastAsia="宋体" w:cs="Times New Roman"/>
      <w:sz w:val="18"/>
      <w:szCs w:val="18"/>
    </w:rPr>
  </w:style>
  <w:style w:type="paragraph" w:styleId="30">
    <w:name w:val="List Paragraph"/>
    <w:basedOn w:val="1"/>
    <w:qFormat/>
    <w:uiPriority w:val="99"/>
    <w:pPr>
      <w:ind w:firstLine="420" w:firstLineChars="200"/>
    </w:pPr>
  </w:style>
  <w:style w:type="character" w:customStyle="1" w:styleId="31">
    <w:name w:val="apple-converted-space"/>
    <w:basedOn w:val="15"/>
    <w:qFormat/>
    <w:uiPriority w:val="0"/>
  </w:style>
  <w:style w:type="character" w:customStyle="1" w:styleId="32">
    <w:name w:val="title-prefix"/>
    <w:basedOn w:val="15"/>
    <w:qFormat/>
    <w:uiPriority w:val="0"/>
  </w:style>
  <w:style w:type="paragraph" w:customStyle="1" w:styleId="33">
    <w:name w:val="Char1 Char Char Char"/>
    <w:basedOn w:val="1"/>
    <w:qFormat/>
    <w:uiPriority w:val="0"/>
    <w:pPr>
      <w:spacing w:line="360" w:lineRule="auto"/>
    </w:pPr>
    <w:rPr>
      <w:rFonts w:ascii="Tahoma" w:hAnsi="Tahoma"/>
      <w:sz w:val="24"/>
      <w:szCs w:val="20"/>
    </w:rPr>
  </w:style>
  <w:style w:type="paragraph" w:customStyle="1" w:styleId="34">
    <w:name w:val="表格表头"/>
    <w:qFormat/>
    <w:uiPriority w:val="0"/>
    <w:pPr>
      <w:spacing w:line="240" w:lineRule="exact"/>
      <w:jc w:val="center"/>
    </w:pPr>
    <w:rPr>
      <w:rFonts w:ascii="Calibri" w:hAnsi="Calibri" w:eastAsia="宋体" w:cs="Times New Roman"/>
      <w:b/>
      <w:bCs/>
      <w:kern w:val="2"/>
      <w:sz w:val="21"/>
      <w:szCs w:val="21"/>
      <w:lang w:val="en-US" w:eastAsia="zh-CN" w:bidi="ar-SA"/>
    </w:rPr>
  </w:style>
  <w:style w:type="paragraph" w:customStyle="1" w:styleId="35">
    <w:name w:val="表格正文"/>
    <w:qFormat/>
    <w:uiPriority w:val="0"/>
    <w:pPr>
      <w:spacing w:line="280" w:lineRule="exact"/>
      <w:contextualSpacing/>
    </w:pPr>
    <w:rPr>
      <w:rFonts w:ascii="宋体" w:hAnsi="宋体" w:eastAsia="宋体" w:cs="Times New Roman"/>
      <w:bCs/>
      <w:kern w:val="2"/>
      <w:sz w:val="21"/>
      <w:szCs w:val="18"/>
      <w:lang w:val="en-US" w:eastAsia="zh-CN" w:bidi="ar-SA"/>
    </w:rPr>
  </w:style>
  <w:style w:type="paragraph" w:customStyle="1" w:styleId="36">
    <w:name w:val="表格标题"/>
    <w:qFormat/>
    <w:uiPriority w:val="0"/>
    <w:pPr>
      <w:tabs>
        <w:tab w:val="left" w:pos="1545"/>
      </w:tabs>
      <w:spacing w:line="360" w:lineRule="auto"/>
      <w:jc w:val="center"/>
    </w:pPr>
    <w:rPr>
      <w:rFonts w:ascii="宋体" w:hAnsi="宋体" w:eastAsia="宋体" w:cs="Times New Roman"/>
      <w:b/>
      <w:color w:val="000000"/>
      <w:kern w:val="2"/>
      <w:sz w:val="21"/>
      <w:szCs w:val="21"/>
      <w:lang w:val="en-US" w:eastAsia="zh-CN" w:bidi="ar-SA"/>
    </w:rPr>
  </w:style>
  <w:style w:type="paragraph" w:customStyle="1" w:styleId="37">
    <w:name w:val="2级标题"/>
    <w:qFormat/>
    <w:uiPriority w:val="0"/>
    <w:pPr>
      <w:tabs>
        <w:tab w:val="left" w:pos="1440"/>
      </w:tabs>
      <w:spacing w:line="360" w:lineRule="auto"/>
      <w:ind w:firstLine="482" w:firstLineChars="200"/>
      <w:contextualSpacing/>
    </w:pPr>
    <w:rPr>
      <w:rFonts w:ascii="宋体" w:hAnsi="宋体" w:eastAsia="宋体" w:cs="Times New Roman"/>
      <w:b/>
      <w:color w:val="000000"/>
      <w:kern w:val="2"/>
      <w:sz w:val="24"/>
      <w:szCs w:val="24"/>
      <w:lang w:val="en-US" w:eastAsia="zh-CN" w:bidi="ar-SA"/>
    </w:rPr>
  </w:style>
  <w:style w:type="character" w:customStyle="1" w:styleId="38">
    <w:name w:val="style141"/>
    <w:basedOn w:val="15"/>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608125"/>
          <c:y val="0.86431870669746"/>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图 1扩招学生年龄结构统计图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20-25岁占20%</c:v>
                </c:pt>
                <c:pt idx="1">
                  <c:v>26-30岁占42%</c:v>
                </c:pt>
                <c:pt idx="2">
                  <c:v>31-35岁占15%</c:v>
                </c:pt>
                <c:pt idx="3">
                  <c:v>36-40岁占19%</c:v>
                </c:pt>
                <c:pt idx="4">
                  <c:v>40岁以上占2%</c:v>
                </c:pt>
              </c:strCache>
            </c:strRef>
          </c:cat>
          <c:val>
            <c:numRef>
              <c:f>Sheet1!$B$2:$B$6</c:f>
              <c:numCache>
                <c:formatCode>0%</c:formatCode>
                <c:ptCount val="5"/>
                <c:pt idx="0">
                  <c:v>0.2</c:v>
                </c:pt>
                <c:pt idx="1">
                  <c:v>0.42</c:v>
                </c:pt>
                <c:pt idx="2">
                  <c:v>0.15</c:v>
                </c:pt>
                <c:pt idx="3">
                  <c:v>0.19</c:v>
                </c:pt>
                <c:pt idx="4">
                  <c:v>0.02</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20-25岁占20%</c:v>
                </c:pt>
                <c:pt idx="1">
                  <c:v>26-30岁占42%</c:v>
                </c:pt>
                <c:pt idx="2">
                  <c:v>31-35岁占15%</c:v>
                </c:pt>
                <c:pt idx="3">
                  <c:v>36-40岁占19%</c:v>
                </c:pt>
                <c:pt idx="4">
                  <c:v>40岁以上占2%</c:v>
                </c:pt>
              </c:strCache>
            </c:strRef>
          </c:cat>
          <c:val>
            <c:numRef>
              <c:f>Sheet1!$C$2:$C$6</c:f>
              <c:numCache>
                <c:formatCode>General</c:formatCode>
                <c:ptCount val="5"/>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75625"/>
          <c:y val="0.0314100590197588"/>
          <c:w val="0.31875"/>
          <c:h val="0.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529375"/>
          <c:y val="0.852811118130133"/>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图2   扩招学生职业结构分布图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国家机关12%</c:v>
                </c:pt>
                <c:pt idx="1">
                  <c:v>事业单位31%</c:v>
                </c:pt>
                <c:pt idx="2">
                  <c:v>国有企业13%</c:v>
                </c:pt>
                <c:pt idx="3">
                  <c:v>集体或私有企业42%</c:v>
                </c:pt>
                <c:pt idx="4">
                  <c:v>待业占比2%</c:v>
                </c:pt>
              </c:strCache>
            </c:strRef>
          </c:cat>
          <c:val>
            <c:numRef>
              <c:f>Sheet1!$B$2:$B$6</c:f>
              <c:numCache>
                <c:formatCode>0%</c:formatCode>
                <c:ptCount val="5"/>
                <c:pt idx="0">
                  <c:v>0.12</c:v>
                </c:pt>
                <c:pt idx="1">
                  <c:v>0.31</c:v>
                </c:pt>
                <c:pt idx="2">
                  <c:v>0.13</c:v>
                </c:pt>
                <c:pt idx="3">
                  <c:v>0.42</c:v>
                </c:pt>
                <c:pt idx="4">
                  <c:v>0.02</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国家机关12%</c:v>
                </c:pt>
                <c:pt idx="1">
                  <c:v>事业单位31%</c:v>
                </c:pt>
                <c:pt idx="2">
                  <c:v>国有企业13%</c:v>
                </c:pt>
                <c:pt idx="3">
                  <c:v>集体或私有企业42%</c:v>
                </c:pt>
                <c:pt idx="4">
                  <c:v>待业占比2%</c:v>
                </c:pt>
              </c:strCache>
            </c:strRef>
          </c:cat>
          <c:val>
            <c:numRef>
              <c:f>Sheet1!$C$2:$C$6</c:f>
              <c:numCache>
                <c:formatCode>General</c:formatCode>
                <c:ptCount val="5"/>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19820971867008"/>
          <c:y val="0.0476942514213519"/>
          <c:w val="0.276342710997442"/>
          <c:h val="0.56380290587492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785625"/>
          <c:y val="0.840336134453782"/>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图3   学生工作年限统计图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工作年限1-2年占10%</c:v>
                </c:pt>
                <c:pt idx="1">
                  <c:v>工作年限3-5年占21%</c:v>
                </c:pt>
                <c:pt idx="2">
                  <c:v>工作年限5-10年占43%</c:v>
                </c:pt>
                <c:pt idx="3">
                  <c:v>工作年限10年以上占26%</c:v>
                </c:pt>
              </c:strCache>
            </c:strRef>
          </c:cat>
          <c:val>
            <c:numRef>
              <c:f>Sheet1!$B$2:$B$5</c:f>
              <c:numCache>
                <c:formatCode>0%</c:formatCode>
                <c:ptCount val="4"/>
                <c:pt idx="0">
                  <c:v>0.1</c:v>
                </c:pt>
                <c:pt idx="1">
                  <c:v>0.21</c:v>
                </c:pt>
                <c:pt idx="2">
                  <c:v>0.43</c:v>
                </c:pt>
                <c:pt idx="3">
                  <c:v>0.26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3725"/>
          <c:y val="0.053781512605042"/>
          <c:w val="0.258375"/>
          <c:h val="0.4243697478991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475"/>
          <c:y val="0.87154656792936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图4 扩招学生的学习动机图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学习形式适宜占25%</c:v>
                </c:pt>
                <c:pt idx="1">
                  <c:v>不需要考试的入学方式占29%</c:v>
                </c:pt>
                <c:pt idx="2">
                  <c:v>国家政策占45%</c:v>
                </c:pt>
                <c:pt idx="3">
                  <c:v>其他因素占1%</c:v>
                </c:pt>
              </c:strCache>
            </c:strRef>
          </c:cat>
          <c:val>
            <c:numRef>
              <c:f>Sheet1!$B$2:$B$5</c:f>
              <c:numCache>
                <c:formatCode>0%</c:formatCode>
                <c:ptCount val="4"/>
                <c:pt idx="0">
                  <c:v>0.25</c:v>
                </c:pt>
                <c:pt idx="1">
                  <c:v>0.29</c:v>
                </c:pt>
                <c:pt idx="2">
                  <c:v>0.45</c:v>
                </c:pt>
                <c:pt idx="3">
                  <c:v>0.01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87"/>
          <c:y val="0.1498148675591"/>
          <c:w val="0.30925"/>
          <c:h val="0.45713471945314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75625"/>
          <c:y val="0.812206572769953"/>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图 5 扩招学生学习目的分类图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工作需要占35%</c:v>
                </c:pt>
                <c:pt idx="1">
                  <c:v>为选择新的职业占8%</c:v>
                </c:pt>
                <c:pt idx="2">
                  <c:v>为了充实提高自己占52%</c:v>
                </c:pt>
                <c:pt idx="3">
                  <c:v>个人兴趣及其他5%</c:v>
                </c:pt>
              </c:strCache>
            </c:strRef>
          </c:cat>
          <c:val>
            <c:numRef>
              <c:f>Sheet1!$B$2:$B$5</c:f>
              <c:numCache>
                <c:formatCode>0%</c:formatCode>
                <c:ptCount val="4"/>
                <c:pt idx="0">
                  <c:v>0.35</c:v>
                </c:pt>
                <c:pt idx="1">
                  <c:v>0.08</c:v>
                </c:pt>
                <c:pt idx="2">
                  <c:v>0.52</c:v>
                </c:pt>
                <c:pt idx="3">
                  <c:v>0.05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1425"/>
          <c:y val="0.143348982785603"/>
          <c:w val="0.264375"/>
          <c:h val="0.5467918622848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78EA47-2670-4A85-A710-52233BC306C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60</Pages>
  <Words>4664</Words>
  <Characters>26585</Characters>
  <Lines>221</Lines>
  <Paragraphs>62</Paragraphs>
  <TotalTime>1</TotalTime>
  <ScaleCrop>false</ScaleCrop>
  <LinksUpToDate>false</LinksUpToDate>
  <CharactersWithSpaces>31187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2020-01-09T14:37:00Z</dcterms:created>
  <dc:creator>dell</dc:creator>
  <cp:lastModifiedBy>lenovo</cp:lastModifiedBy>
  <cp:lastPrinted>2019-08-22T10:47:00Z</cp:lastPrinted>
  <dcterms:modified xsi:type="dcterms:W3CDTF">2020-04-17T09:10:21Z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